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1F" w:rsidRPr="005D4AE2" w:rsidRDefault="00191D7B" w:rsidP="009A0D08">
      <w:pPr>
        <w:spacing w:after="200" w:line="276" w:lineRule="auto"/>
        <w:rPr>
          <w:rFonts w:cs="Arial"/>
        </w:rPr>
      </w:pPr>
      <w:r>
        <w:rPr>
          <w:rFonts w:cs="Arial"/>
          <w:noProof/>
          <w:lang w:eastAsia="en-AU"/>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2740660</wp:posOffset>
                </wp:positionV>
                <wp:extent cx="6267450" cy="37147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01" w:rsidRPr="00F9661F" w:rsidRDefault="00924B01">
                            <w:pPr>
                              <w:rPr>
                                <w:b/>
                                <w:color w:val="FFFFFF" w:themeColor="background1"/>
                                <w:sz w:val="30"/>
                                <w:szCs w:val="30"/>
                              </w:rPr>
                            </w:pPr>
                            <w:r>
                              <w:rPr>
                                <w:b/>
                                <w:color w:val="FFFFFF" w:themeColor="background1"/>
                                <w:sz w:val="30"/>
                                <w:szCs w:val="30"/>
                              </w:rPr>
                              <w:t>Nursing Competency Workbook, 10</w:t>
                            </w:r>
                            <w:r w:rsidRPr="00E14093">
                              <w:rPr>
                                <w:b/>
                                <w:color w:val="FFFFFF" w:themeColor="background1"/>
                                <w:sz w:val="30"/>
                                <w:szCs w:val="30"/>
                                <w:vertAlign w:val="superscript"/>
                              </w:rPr>
                              <w:t>th</w:t>
                            </w:r>
                            <w:r>
                              <w:rPr>
                                <w:b/>
                                <w:color w:val="FFFFFF" w:themeColor="background1"/>
                                <w:sz w:val="30"/>
                                <w:szCs w:val="30"/>
                              </w:rPr>
                              <w:t xml:space="preserve">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15.8pt;width:493.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zD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" filled="f" stroked="f">
                <v:textbox>
                  <w:txbxContent>
                    <w:p w:rsidR="00924B01" w:rsidRPr="00F9661F" w:rsidRDefault="00924B01">
                      <w:pPr>
                        <w:rPr>
                          <w:b/>
                          <w:color w:val="FFFFFF" w:themeColor="background1"/>
                          <w:sz w:val="30"/>
                          <w:szCs w:val="30"/>
                        </w:rPr>
                      </w:pPr>
                      <w:r>
                        <w:rPr>
                          <w:b/>
                          <w:color w:val="FFFFFF" w:themeColor="background1"/>
                          <w:sz w:val="30"/>
                          <w:szCs w:val="30"/>
                        </w:rPr>
                        <w:t>Nursing Competency Workbook, 10</w:t>
                      </w:r>
                      <w:r w:rsidRPr="00E14093">
                        <w:rPr>
                          <w:b/>
                          <w:color w:val="FFFFFF" w:themeColor="background1"/>
                          <w:sz w:val="30"/>
                          <w:szCs w:val="30"/>
                          <w:vertAlign w:val="superscript"/>
                        </w:rPr>
                        <w:t>th</w:t>
                      </w:r>
                      <w:r>
                        <w:rPr>
                          <w:b/>
                          <w:color w:val="FFFFFF" w:themeColor="background1"/>
                          <w:sz w:val="30"/>
                          <w:szCs w:val="30"/>
                        </w:rPr>
                        <w:t xml:space="preserve"> Edition</w:t>
                      </w:r>
                    </w:p>
                  </w:txbxContent>
                </v:textbox>
              </v:shape>
            </w:pict>
          </mc:Fallback>
        </mc:AlternateContent>
      </w:r>
      <w:r>
        <w:rPr>
          <w:rFonts w:cs="Arial"/>
          <w:noProof/>
          <w:lang w:eastAsia="en-AU"/>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2788285</wp:posOffset>
                </wp:positionV>
                <wp:extent cx="6851015" cy="266700"/>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266700"/>
                        </a:xfrm>
                        <a:prstGeom prst="rect">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9404" id="Rectangle 3" o:spid="_x0000_s1026" style="position:absolute;margin-left:-4.95pt;margin-top:219.55pt;width:539.4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" fillcolor="#9bbb59 [3206]" stroked="f" strokecolor="#f2f2f2 [3041]" strokeweight="3pt">
                <v:shadow color="#4e6128 [1606]" opacity=".5" offset="1pt"/>
              </v:rect>
            </w:pict>
          </mc:Fallback>
        </mc:AlternateContent>
      </w:r>
      <w:r>
        <w:rPr>
          <w:rFonts w:cs="Arial"/>
          <w:noProof/>
          <w:lang w:eastAsia="en-AU"/>
        </w:rPr>
        <mc:AlternateContent>
          <mc:Choice Requires="wps">
            <w:drawing>
              <wp:anchor distT="0" distB="0" distL="114300" distR="114300" simplePos="0" relativeHeight="251669504" behindDoc="0" locked="0" layoutInCell="1" allowOverlap="1">
                <wp:simplePos x="0" y="0"/>
                <wp:positionH relativeFrom="column">
                  <wp:posOffset>46355</wp:posOffset>
                </wp:positionH>
                <wp:positionV relativeFrom="paragraph">
                  <wp:posOffset>1607185</wp:posOffset>
                </wp:positionV>
                <wp:extent cx="5567680" cy="693420"/>
                <wp:effectExtent l="1905"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B01" w:rsidRPr="00F9661F" w:rsidRDefault="00924B01">
                            <w:pPr>
                              <w:rPr>
                                <w:b/>
                                <w:color w:val="FFFFFF" w:themeColor="background1"/>
                                <w:sz w:val="44"/>
                                <w:szCs w:val="44"/>
                              </w:rPr>
                            </w:pPr>
                            <w:r>
                              <w:rPr>
                                <w:b/>
                                <w:color w:val="FFFFFF" w:themeColor="background1"/>
                                <w:sz w:val="44"/>
                                <w:szCs w:val="44"/>
                              </w:rPr>
                              <w:t>Chapter 1</w:t>
                            </w:r>
                          </w:p>
                          <w:p w:rsidR="00924B01" w:rsidRPr="00F9661F" w:rsidRDefault="00924B01">
                            <w:pPr>
                              <w:rPr>
                                <w:color w:val="FFFFFF" w:themeColor="background1"/>
                                <w:sz w:val="34"/>
                                <w:szCs w:val="34"/>
                              </w:rPr>
                            </w:pPr>
                            <w:r>
                              <w:rPr>
                                <w:color w:val="FFFFFF" w:themeColor="background1"/>
                                <w:sz w:val="34"/>
                                <w:szCs w:val="34"/>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65pt;margin-top:126.55pt;width:438.4pt;height:54.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wNtw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" filled="f" stroked="f">
                <v:textbox style="mso-fit-shape-to-text:t">
                  <w:txbxContent>
                    <w:p w:rsidR="00924B01" w:rsidRPr="00F9661F" w:rsidRDefault="00924B01">
                      <w:pPr>
                        <w:rPr>
                          <w:b/>
                          <w:color w:val="FFFFFF" w:themeColor="background1"/>
                          <w:sz w:val="44"/>
                          <w:szCs w:val="44"/>
                        </w:rPr>
                      </w:pPr>
                      <w:r>
                        <w:rPr>
                          <w:b/>
                          <w:color w:val="FFFFFF" w:themeColor="background1"/>
                          <w:sz w:val="44"/>
                          <w:szCs w:val="44"/>
                        </w:rPr>
                        <w:t>Chapter 1</w:t>
                      </w:r>
                    </w:p>
                    <w:p w:rsidR="00924B01" w:rsidRPr="00F9661F" w:rsidRDefault="00924B01">
                      <w:pPr>
                        <w:rPr>
                          <w:color w:val="FFFFFF" w:themeColor="background1"/>
                          <w:sz w:val="34"/>
                          <w:szCs w:val="34"/>
                        </w:rPr>
                      </w:pPr>
                      <w:r>
                        <w:rPr>
                          <w:color w:val="FFFFFF" w:themeColor="background1"/>
                          <w:sz w:val="34"/>
                          <w:szCs w:val="34"/>
                        </w:rPr>
                        <w:t>Introduction</w:t>
                      </w:r>
                    </w:p>
                  </w:txbxContent>
                </v:textbox>
              </v:shape>
            </w:pict>
          </mc:Fallback>
        </mc:AlternateContent>
      </w:r>
      <w:r w:rsidR="00F9661F">
        <w:rPr>
          <w:rFonts w:cs="Arial"/>
          <w:noProof/>
          <w:lang w:eastAsia="en-AU"/>
        </w:rPr>
        <w:drawing>
          <wp:anchor distT="0" distB="0" distL="114300" distR="114300" simplePos="0" relativeHeight="251659264" behindDoc="1" locked="0" layoutInCell="1" allowOverlap="1">
            <wp:simplePos x="0" y="0"/>
            <wp:positionH relativeFrom="page">
              <wp:align>center</wp:align>
            </wp:positionH>
            <wp:positionV relativeFrom="page">
              <wp:posOffset>809625</wp:posOffset>
            </wp:positionV>
            <wp:extent cx="7559675" cy="2743200"/>
            <wp:effectExtent l="19050" t="0" r="3175" b="0"/>
            <wp:wrapNone/>
            <wp:docPr id="3" name="Picture 2" descr="RCH factsheet fli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 factsheet flier header.png"/>
                    <pic:cNvPicPr>
                      <a:picLocks noChangeAspect="1" noChangeArrowheads="1"/>
                    </pic:cNvPicPr>
                  </pic:nvPicPr>
                  <pic:blipFill>
                    <a:blip r:embed="rId8" cstate="print"/>
                    <a:srcRect/>
                    <a:stretch>
                      <a:fillRect/>
                    </a:stretch>
                  </pic:blipFill>
                  <pic:spPr bwMode="auto">
                    <a:xfrm>
                      <a:off x="0" y="0"/>
                      <a:ext cx="7559675" cy="2743200"/>
                    </a:xfrm>
                    <a:prstGeom prst="rect">
                      <a:avLst/>
                    </a:prstGeom>
                    <a:noFill/>
                    <a:ln w="9525">
                      <a:noFill/>
                      <a:miter lim="800000"/>
                      <a:headEnd/>
                      <a:tailEnd/>
                    </a:ln>
                  </pic:spPr>
                </pic:pic>
              </a:graphicData>
            </a:graphic>
          </wp:anchor>
        </w:drawing>
      </w:r>
      <w:r w:rsidR="00F9661F">
        <w:rPr>
          <w:rFonts w:cs="Arial"/>
        </w:rPr>
        <w:br w:type="page"/>
      </w:r>
      <w:r w:rsidR="00F9661F" w:rsidRPr="005D4AE2">
        <w:rPr>
          <w:rFonts w:cs="Arial"/>
        </w:rPr>
        <w:lastRenderedPageBreak/>
        <w:t>The Royal Children's Hospital (RCH) Nursing Competency Workbook is a dynamic document that will provide you with direction and assist you in your professional development as a nurse working at the RCH. The workbook also provides a record of your orientation and competency obtainment.</w:t>
      </w:r>
    </w:p>
    <w:p w:rsidR="00F9661F" w:rsidRPr="00D7099A" w:rsidRDefault="00F9661F" w:rsidP="00212A2F">
      <w:pPr>
        <w:pStyle w:val="BodyText3"/>
        <w:spacing w:after="0"/>
        <w:jc w:val="both"/>
        <w:rPr>
          <w:rFonts w:cs="Arial"/>
          <w:b/>
          <w:sz w:val="20"/>
          <w:szCs w:val="20"/>
        </w:rPr>
      </w:pPr>
      <w:r w:rsidRPr="00D7099A">
        <w:rPr>
          <w:rFonts w:cs="Arial"/>
          <w:b/>
          <w:sz w:val="20"/>
          <w:szCs w:val="20"/>
        </w:rPr>
        <w:t xml:space="preserve">Chapter 1 </w:t>
      </w:r>
    </w:p>
    <w:p w:rsidR="00F9661F" w:rsidRPr="005D4AE2" w:rsidRDefault="00F9661F" w:rsidP="00212A2F">
      <w:pPr>
        <w:pStyle w:val="BodyText3"/>
        <w:jc w:val="both"/>
        <w:rPr>
          <w:rFonts w:cs="Arial"/>
          <w:sz w:val="20"/>
          <w:szCs w:val="20"/>
        </w:rPr>
      </w:pPr>
      <w:r w:rsidRPr="005D4AE2">
        <w:rPr>
          <w:rFonts w:cs="Arial"/>
          <w:sz w:val="20"/>
          <w:szCs w:val="20"/>
        </w:rPr>
        <w:t>Includes resources for nurses and is complemented by the Royal Children’s Hospital (RCH) New Starter Pack, Hospital Orientation and Nursing Orientation day, to provide an introduction to nursing at the RCH.</w:t>
      </w:r>
    </w:p>
    <w:p w:rsidR="00F9661F" w:rsidRPr="00D7099A" w:rsidRDefault="00F9661F" w:rsidP="00212A2F">
      <w:pPr>
        <w:pStyle w:val="BodyText3"/>
        <w:spacing w:after="0"/>
        <w:jc w:val="both"/>
        <w:rPr>
          <w:rFonts w:cs="Arial"/>
          <w:b/>
          <w:sz w:val="20"/>
          <w:szCs w:val="20"/>
        </w:rPr>
      </w:pPr>
      <w:r w:rsidRPr="00D7099A">
        <w:rPr>
          <w:rFonts w:cs="Arial"/>
          <w:b/>
          <w:sz w:val="20"/>
          <w:szCs w:val="20"/>
        </w:rPr>
        <w:t xml:space="preserve">Chapter 2 </w:t>
      </w:r>
    </w:p>
    <w:p w:rsidR="00F9661F" w:rsidRPr="005D4AE2" w:rsidRDefault="00F9661F" w:rsidP="00212A2F">
      <w:pPr>
        <w:pStyle w:val="BodyText3"/>
        <w:jc w:val="both"/>
        <w:rPr>
          <w:rFonts w:cs="Arial"/>
          <w:sz w:val="20"/>
          <w:szCs w:val="20"/>
        </w:rPr>
      </w:pPr>
      <w:r w:rsidRPr="005D4AE2">
        <w:rPr>
          <w:rFonts w:cs="Arial"/>
          <w:sz w:val="20"/>
          <w:szCs w:val="20"/>
        </w:rPr>
        <w:t>Generic Nursing Competency Assessment Forms</w:t>
      </w:r>
    </w:p>
    <w:p w:rsidR="00F9661F" w:rsidRPr="00D7099A" w:rsidRDefault="00F9661F" w:rsidP="00212A2F">
      <w:pPr>
        <w:pStyle w:val="BodyText3"/>
        <w:spacing w:after="0"/>
        <w:jc w:val="both"/>
        <w:rPr>
          <w:rFonts w:cs="Arial"/>
          <w:b/>
          <w:sz w:val="20"/>
          <w:szCs w:val="20"/>
        </w:rPr>
      </w:pPr>
      <w:r w:rsidRPr="00D7099A">
        <w:rPr>
          <w:rFonts w:cs="Arial"/>
          <w:b/>
          <w:sz w:val="20"/>
          <w:szCs w:val="20"/>
        </w:rPr>
        <w:t xml:space="preserve">Chapter 3 </w:t>
      </w:r>
    </w:p>
    <w:p w:rsidR="00F9661F" w:rsidRPr="005D4AE2" w:rsidRDefault="00F9661F" w:rsidP="00212A2F">
      <w:pPr>
        <w:pStyle w:val="BodyText3"/>
        <w:jc w:val="both"/>
        <w:rPr>
          <w:rFonts w:cs="Arial"/>
          <w:sz w:val="20"/>
          <w:szCs w:val="20"/>
        </w:rPr>
      </w:pPr>
      <w:r w:rsidRPr="005D4AE2">
        <w:rPr>
          <w:rFonts w:cs="Arial"/>
          <w:sz w:val="20"/>
          <w:szCs w:val="20"/>
        </w:rPr>
        <w:t>Specialty Nursing Competency Assessment Forms</w:t>
      </w:r>
    </w:p>
    <w:p w:rsidR="00F9661F" w:rsidRPr="00D7099A" w:rsidRDefault="00F9661F" w:rsidP="00212A2F">
      <w:pPr>
        <w:pStyle w:val="BodyText3"/>
        <w:spacing w:after="0"/>
        <w:jc w:val="both"/>
        <w:rPr>
          <w:rFonts w:cs="Arial"/>
          <w:b/>
          <w:sz w:val="20"/>
          <w:szCs w:val="20"/>
        </w:rPr>
      </w:pPr>
      <w:r w:rsidRPr="00D7099A">
        <w:rPr>
          <w:rFonts w:cs="Arial"/>
          <w:b/>
          <w:sz w:val="20"/>
          <w:szCs w:val="20"/>
        </w:rPr>
        <w:t>Appendix 1</w:t>
      </w:r>
    </w:p>
    <w:p w:rsidR="00F9661F" w:rsidRPr="005D4AE2" w:rsidRDefault="00F9661F" w:rsidP="00212A2F">
      <w:pPr>
        <w:pStyle w:val="BodyText3"/>
        <w:jc w:val="both"/>
        <w:rPr>
          <w:rFonts w:cs="Arial"/>
          <w:sz w:val="20"/>
          <w:szCs w:val="20"/>
        </w:rPr>
      </w:pPr>
      <w:r w:rsidRPr="005D4AE2">
        <w:rPr>
          <w:rFonts w:cs="Arial"/>
          <w:sz w:val="20"/>
          <w:szCs w:val="20"/>
        </w:rPr>
        <w:t>Unit / Department Nursing Orientation</w:t>
      </w:r>
    </w:p>
    <w:p w:rsidR="00D7099A" w:rsidRDefault="00D7099A" w:rsidP="00212A2F">
      <w:pPr>
        <w:pStyle w:val="BodyText3"/>
        <w:jc w:val="both"/>
        <w:rPr>
          <w:rFonts w:cs="Arial"/>
          <w:sz w:val="20"/>
          <w:szCs w:val="20"/>
        </w:rPr>
      </w:pPr>
    </w:p>
    <w:p w:rsidR="00F9661F" w:rsidRPr="005D4AE2" w:rsidRDefault="00F9661F" w:rsidP="00212A2F">
      <w:pPr>
        <w:pStyle w:val="BodyText3"/>
        <w:jc w:val="both"/>
        <w:rPr>
          <w:rFonts w:cs="Arial"/>
          <w:sz w:val="20"/>
          <w:szCs w:val="20"/>
        </w:rPr>
      </w:pPr>
      <w:r w:rsidRPr="005D4AE2">
        <w:rPr>
          <w:rFonts w:cs="Arial"/>
          <w:sz w:val="20"/>
          <w:szCs w:val="20"/>
        </w:rPr>
        <w:t>All chapters and appendices are downloadable as pdfs from the Nursing Education Website.</w:t>
      </w:r>
    </w:p>
    <w:p w:rsidR="00F9661F" w:rsidRPr="005D4AE2" w:rsidRDefault="00F9661F" w:rsidP="00212A2F">
      <w:pPr>
        <w:pStyle w:val="BodyText3"/>
        <w:jc w:val="both"/>
        <w:rPr>
          <w:rFonts w:cs="Arial"/>
          <w:sz w:val="20"/>
          <w:szCs w:val="20"/>
        </w:rPr>
      </w:pPr>
    </w:p>
    <w:p w:rsidR="00F9661F" w:rsidRPr="005D4AE2" w:rsidRDefault="00F9661F" w:rsidP="00212A2F">
      <w:pPr>
        <w:jc w:val="both"/>
        <w:rPr>
          <w:rFonts w:cs="Arial"/>
        </w:rPr>
      </w:pPr>
      <w:r w:rsidRPr="005D4AE2">
        <w:rPr>
          <w:rFonts w:cs="Arial"/>
          <w:b/>
        </w:rPr>
        <w:t>The RCH Nursing Competency Workbook</w:t>
      </w:r>
      <w:r w:rsidRPr="005D4AE2">
        <w:rPr>
          <w:rFonts w:cs="Arial"/>
        </w:rPr>
        <w:t xml:space="preserve"> developed by Nursing Education with input from specialist nurses at the RCH. </w:t>
      </w:r>
    </w:p>
    <w:p w:rsidR="00F9661F" w:rsidRPr="005D4AE2" w:rsidRDefault="00F9661F" w:rsidP="00F9661F">
      <w:pPr>
        <w:jc w:val="both"/>
        <w:rPr>
          <w:rFonts w:cs="Arial"/>
        </w:rPr>
      </w:pPr>
    </w:p>
    <w:p w:rsidR="00F9661F" w:rsidRPr="005D4AE2" w:rsidRDefault="00F9661F" w:rsidP="00F9661F">
      <w:pPr>
        <w:jc w:val="both"/>
        <w:rPr>
          <w:rFonts w:cs="Arial"/>
          <w:b/>
        </w:rPr>
      </w:pPr>
    </w:p>
    <w:p w:rsidR="00F9661F" w:rsidRPr="005D4AE2" w:rsidRDefault="00F9661F" w:rsidP="00F9661F">
      <w:pPr>
        <w:jc w:val="both"/>
        <w:rPr>
          <w:rFonts w:cs="Arial"/>
          <w:b/>
        </w:rPr>
      </w:pPr>
      <w:r w:rsidRPr="005D4AE2">
        <w:rPr>
          <w:rFonts w:cs="Arial"/>
          <w:b/>
        </w:rPr>
        <w:t>For further information contact:</w:t>
      </w:r>
    </w:p>
    <w:p w:rsidR="00F9661F" w:rsidRPr="005D4AE2" w:rsidRDefault="00F9661F" w:rsidP="00F9661F">
      <w:pPr>
        <w:jc w:val="both"/>
        <w:rPr>
          <w:rFonts w:cs="Arial"/>
        </w:rPr>
      </w:pPr>
      <w:r w:rsidRPr="005D4AE2">
        <w:rPr>
          <w:rFonts w:cs="Arial"/>
        </w:rPr>
        <w:t>Melody Trueman</w:t>
      </w:r>
    </w:p>
    <w:p w:rsidR="00F9661F" w:rsidRPr="005D4AE2" w:rsidRDefault="00F9661F" w:rsidP="00F9661F">
      <w:pPr>
        <w:jc w:val="both"/>
        <w:rPr>
          <w:rFonts w:cs="Arial"/>
        </w:rPr>
      </w:pPr>
      <w:r w:rsidRPr="005D4AE2">
        <w:rPr>
          <w:rFonts w:cs="Arial"/>
        </w:rPr>
        <w:t xml:space="preserve">Director, Nursing Education </w:t>
      </w:r>
    </w:p>
    <w:p w:rsidR="00F9661F" w:rsidRPr="005D4AE2" w:rsidRDefault="00212A2F" w:rsidP="00F9661F">
      <w:pPr>
        <w:pStyle w:val="BodyText3"/>
        <w:jc w:val="both"/>
        <w:rPr>
          <w:rFonts w:cs="Arial"/>
          <w:sz w:val="20"/>
          <w:szCs w:val="20"/>
        </w:rPr>
      </w:pPr>
      <w:r>
        <w:rPr>
          <w:rFonts w:cs="Arial"/>
          <w:sz w:val="20"/>
          <w:szCs w:val="20"/>
        </w:rPr>
        <w:t>T: (03) 9345 6716 | E:</w:t>
      </w:r>
      <w:hyperlink r:id="rId9" w:history="1">
        <w:r w:rsidR="00F9661F" w:rsidRPr="005D4AE2">
          <w:rPr>
            <w:rStyle w:val="Hyperlink"/>
            <w:rFonts w:cs="Arial"/>
            <w:color w:val="auto"/>
            <w:sz w:val="20"/>
            <w:szCs w:val="20"/>
          </w:rPr>
          <w:t>melody.trueman@rch.org.au</w:t>
        </w:r>
      </w:hyperlink>
      <w:r w:rsidR="00F9661F" w:rsidRPr="005D4AE2">
        <w:rPr>
          <w:rFonts w:cs="Arial"/>
          <w:sz w:val="20"/>
          <w:szCs w:val="20"/>
        </w:rPr>
        <w:t xml:space="preserve"> </w:t>
      </w:r>
    </w:p>
    <w:p w:rsidR="00F9661F" w:rsidRPr="005D4AE2" w:rsidRDefault="00F9661F" w:rsidP="00F9661F">
      <w:pPr>
        <w:pStyle w:val="BodyText3"/>
        <w:rPr>
          <w:rFonts w:cs="Arial"/>
          <w:sz w:val="20"/>
          <w:szCs w:val="20"/>
        </w:rPr>
      </w:pPr>
    </w:p>
    <w:p w:rsidR="00F9661F" w:rsidRPr="005D4AE2" w:rsidRDefault="00F9661F" w:rsidP="00C8266F">
      <w:pPr>
        <w:pStyle w:val="HeadingDLbrochure"/>
      </w:pPr>
      <w:r w:rsidRPr="005D4AE2">
        <w:t xml:space="preserve">Workbook </w:t>
      </w:r>
      <w:r w:rsidR="0070360B" w:rsidRPr="005D4AE2">
        <w:t>Edition</w:t>
      </w:r>
      <w:r w:rsidR="005C21D0">
        <w:t xml:space="preserve"> </w:t>
      </w:r>
      <w:r w:rsidR="00C121FA">
        <w:t>10</w:t>
      </w:r>
      <w:r w:rsidR="00B81ABB" w:rsidRPr="00B81ABB">
        <w:rPr>
          <w:vertAlign w:val="superscript"/>
        </w:rPr>
        <w:t>th</w:t>
      </w:r>
      <w:r w:rsidR="00D24982" w:rsidRPr="005D4AE2">
        <w:t>,</w:t>
      </w:r>
      <w:r w:rsidRPr="005D4AE2">
        <w:t xml:space="preserve"> </w:t>
      </w:r>
      <w:r w:rsidR="00B81ABB">
        <w:t>January 201</w:t>
      </w:r>
      <w:r w:rsidR="00C121FA">
        <w:t>8</w:t>
      </w:r>
      <w:r w:rsidRPr="005D4AE2">
        <w:br w:type="page"/>
      </w:r>
    </w:p>
    <w:p w:rsidR="00B14B99" w:rsidRDefault="00B14B99" w:rsidP="00F9661F">
      <w:pPr>
        <w:pStyle w:val="Heading2"/>
        <w:jc w:val="both"/>
        <w:rPr>
          <w:sz w:val="28"/>
          <w:szCs w:val="28"/>
        </w:rPr>
        <w:sectPr w:rsidR="00B14B99" w:rsidSect="009A0D08">
          <w:footerReference w:type="default" r:id="rId10"/>
          <w:pgSz w:w="11899" w:h="16838"/>
          <w:pgMar w:top="567" w:right="567" w:bottom="454" w:left="680" w:header="454" w:footer="454" w:gutter="0"/>
          <w:cols w:space="708"/>
          <w:titlePg/>
          <w:docGrid w:linePitch="326"/>
        </w:sectPr>
      </w:pPr>
    </w:p>
    <w:p w:rsidR="00733CB6" w:rsidRPr="00A65E43" w:rsidRDefault="00A65E43" w:rsidP="00A65E43">
      <w:pPr>
        <w:pStyle w:val="Heading2"/>
        <w:pBdr>
          <w:bottom w:val="single" w:sz="4" w:space="1" w:color="auto"/>
        </w:pBdr>
        <w:jc w:val="both"/>
        <w:rPr>
          <w:sz w:val="44"/>
          <w:szCs w:val="44"/>
        </w:rPr>
      </w:pPr>
      <w:bookmarkStart w:id="0" w:name="_Toc377649032"/>
      <w:bookmarkStart w:id="1" w:name="_Toc500312430"/>
      <w:r>
        <w:rPr>
          <w:sz w:val="44"/>
          <w:szCs w:val="44"/>
        </w:rPr>
        <w:t>Table of Contents</w:t>
      </w:r>
      <w:bookmarkEnd w:id="0"/>
      <w:bookmarkEnd w:id="1"/>
    </w:p>
    <w:p w:rsidR="00733CB6" w:rsidRPr="00A65E43" w:rsidRDefault="00733CB6" w:rsidP="00F9661F">
      <w:pPr>
        <w:pStyle w:val="Heading2"/>
        <w:jc w:val="both"/>
        <w:rPr>
          <w:sz w:val="6"/>
          <w:szCs w:val="28"/>
        </w:rPr>
      </w:pPr>
    </w:p>
    <w:p w:rsidR="00B14F64" w:rsidRDefault="00A65E43">
      <w:pPr>
        <w:pStyle w:val="TOC2"/>
        <w:rPr>
          <w:rFonts w:asciiTheme="minorHAnsi" w:eastAsiaTheme="minorEastAsia" w:hAnsiTheme="minorHAnsi" w:cstheme="minorBidi"/>
          <w:b w:val="0"/>
          <w:noProof/>
          <w:lang w:eastAsia="en-AU"/>
        </w:rPr>
      </w:pPr>
      <w:r w:rsidRPr="00A65E43">
        <w:fldChar w:fldCharType="begin"/>
      </w:r>
      <w:r w:rsidRPr="00A65E43">
        <w:instrText xml:space="preserve"> TOC \o "1-3" </w:instrText>
      </w:r>
      <w:r w:rsidRPr="00A65E43">
        <w:fldChar w:fldCharType="separate"/>
      </w:r>
      <w:r w:rsidR="00B14F64">
        <w:rPr>
          <w:noProof/>
        </w:rPr>
        <w:t>Table of Contents</w:t>
      </w:r>
      <w:r w:rsidR="00B14F64">
        <w:rPr>
          <w:noProof/>
        </w:rPr>
        <w:tab/>
      </w:r>
    </w:p>
    <w:p w:rsidR="00B14F64" w:rsidRDefault="00B14F64">
      <w:pPr>
        <w:pStyle w:val="TOC2"/>
        <w:rPr>
          <w:rFonts w:asciiTheme="minorHAnsi" w:eastAsiaTheme="minorEastAsia" w:hAnsiTheme="minorHAnsi" w:cstheme="minorBidi"/>
          <w:b w:val="0"/>
          <w:noProof/>
          <w:lang w:eastAsia="en-AU"/>
        </w:rPr>
      </w:pPr>
      <w:r>
        <w:rPr>
          <w:noProof/>
        </w:rPr>
        <w:t>Welcome to the Royal Children’s Hospital</w:t>
      </w:r>
      <w:r>
        <w:rPr>
          <w:noProof/>
        </w:rPr>
        <w:tab/>
      </w:r>
      <w:r>
        <w:rPr>
          <w:noProof/>
        </w:rPr>
        <w:fldChar w:fldCharType="begin"/>
      </w:r>
      <w:r>
        <w:rPr>
          <w:noProof/>
        </w:rPr>
        <w:instrText xml:space="preserve"> PAGEREF _Toc500312431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RCH Vision</w:t>
      </w:r>
      <w:r>
        <w:rPr>
          <w:noProof/>
        </w:rPr>
        <w:tab/>
      </w:r>
      <w:r>
        <w:rPr>
          <w:noProof/>
        </w:rPr>
        <w:fldChar w:fldCharType="begin"/>
      </w:r>
      <w:r>
        <w:rPr>
          <w:noProof/>
        </w:rPr>
        <w:instrText xml:space="preserve"> PAGEREF _Toc500312432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RCH Mission</w:t>
      </w:r>
      <w:r>
        <w:rPr>
          <w:noProof/>
        </w:rPr>
        <w:tab/>
      </w:r>
      <w:r>
        <w:rPr>
          <w:noProof/>
        </w:rPr>
        <w:fldChar w:fldCharType="begin"/>
      </w:r>
      <w:r>
        <w:rPr>
          <w:noProof/>
        </w:rPr>
        <w:instrText xml:space="preserve"> PAGEREF _Toc500312433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RCH Values</w:t>
      </w:r>
      <w:r>
        <w:rPr>
          <w:noProof/>
        </w:rPr>
        <w:tab/>
      </w:r>
      <w:r>
        <w:rPr>
          <w:noProof/>
        </w:rPr>
        <w:fldChar w:fldCharType="begin"/>
      </w:r>
      <w:r>
        <w:rPr>
          <w:noProof/>
        </w:rPr>
        <w:instrText xml:space="preserve"> PAGEREF _Toc500312434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Strategic focus</w:t>
      </w:r>
      <w:r>
        <w:rPr>
          <w:noProof/>
        </w:rPr>
        <w:tab/>
      </w:r>
      <w:r>
        <w:rPr>
          <w:noProof/>
        </w:rPr>
        <w:fldChar w:fldCharType="begin"/>
      </w:r>
      <w:r>
        <w:rPr>
          <w:noProof/>
        </w:rPr>
        <w:instrText xml:space="preserve"> PAGEREF _Toc500312435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rPr>
        <w:t>Deliver Great Care</w:t>
      </w:r>
      <w:r>
        <w:rPr>
          <w:noProof/>
        </w:rPr>
        <w:tab/>
      </w:r>
      <w:r>
        <w:rPr>
          <w:noProof/>
        </w:rPr>
        <w:fldChar w:fldCharType="begin"/>
      </w:r>
      <w:r>
        <w:rPr>
          <w:noProof/>
        </w:rPr>
        <w:instrText xml:space="preserve"> PAGEREF _Toc500312436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RCH Strategic Priorities</w:t>
      </w:r>
      <w:r>
        <w:rPr>
          <w:noProof/>
        </w:rPr>
        <w:tab/>
      </w:r>
      <w:r>
        <w:rPr>
          <w:noProof/>
        </w:rPr>
        <w:fldChar w:fldCharType="begin"/>
      </w:r>
      <w:r>
        <w:rPr>
          <w:noProof/>
        </w:rPr>
        <w:instrText xml:space="preserve"> PAGEREF _Toc500312437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Our People</w:t>
      </w:r>
      <w:r>
        <w:rPr>
          <w:noProof/>
        </w:rPr>
        <w:tab/>
      </w:r>
      <w:r>
        <w:rPr>
          <w:noProof/>
        </w:rPr>
        <w:fldChar w:fldCharType="begin"/>
      </w:r>
      <w:r>
        <w:rPr>
          <w:noProof/>
        </w:rPr>
        <w:instrText xml:space="preserve"> PAGEREF _Toc500312438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rPr>
        <w:t>Our Enablers</w:t>
      </w:r>
      <w:r>
        <w:rPr>
          <w:noProof/>
        </w:rPr>
        <w:tab/>
      </w:r>
      <w:r>
        <w:rPr>
          <w:noProof/>
        </w:rPr>
        <w:fldChar w:fldCharType="begin"/>
      </w:r>
      <w:r>
        <w:rPr>
          <w:noProof/>
        </w:rPr>
        <w:instrText xml:space="preserve"> PAGEREF _Toc500312439 \h </w:instrText>
      </w:r>
      <w:r>
        <w:rPr>
          <w:noProof/>
        </w:rPr>
      </w:r>
      <w:r>
        <w:rPr>
          <w:noProof/>
        </w:rPr>
        <w:fldChar w:fldCharType="separate"/>
      </w:r>
      <w:r>
        <w:rPr>
          <w:noProof/>
        </w:rPr>
        <w:t>1</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Patient and Family Centred Care</w:t>
      </w:r>
      <w:r>
        <w:rPr>
          <w:noProof/>
        </w:rPr>
        <w:tab/>
      </w:r>
      <w:r>
        <w:rPr>
          <w:noProof/>
        </w:rPr>
        <w:fldChar w:fldCharType="begin"/>
      </w:r>
      <w:r>
        <w:rPr>
          <w:noProof/>
        </w:rPr>
        <w:instrText xml:space="preserve"> PAGEREF _Toc500312440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Dignity and Respect</w:t>
      </w:r>
      <w:r>
        <w:rPr>
          <w:noProof/>
        </w:rPr>
        <w:tab/>
      </w:r>
      <w:r>
        <w:rPr>
          <w:noProof/>
        </w:rPr>
        <w:fldChar w:fldCharType="begin"/>
      </w:r>
      <w:r>
        <w:rPr>
          <w:noProof/>
        </w:rPr>
        <w:instrText xml:space="preserve"> PAGEREF _Toc500312441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Information Sharing</w:t>
      </w:r>
      <w:r>
        <w:rPr>
          <w:noProof/>
        </w:rPr>
        <w:tab/>
      </w:r>
      <w:r>
        <w:rPr>
          <w:noProof/>
        </w:rPr>
        <w:fldChar w:fldCharType="begin"/>
      </w:r>
      <w:r>
        <w:rPr>
          <w:noProof/>
        </w:rPr>
        <w:instrText xml:space="preserve"> PAGEREF _Toc500312442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Participation</w:t>
      </w:r>
      <w:r>
        <w:rPr>
          <w:noProof/>
        </w:rPr>
        <w:tab/>
      </w:r>
      <w:r>
        <w:rPr>
          <w:noProof/>
        </w:rPr>
        <w:fldChar w:fldCharType="begin"/>
      </w:r>
      <w:r>
        <w:rPr>
          <w:noProof/>
        </w:rPr>
        <w:instrText xml:space="preserve"> PAGEREF _Toc500312443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Collaboration</w:t>
      </w:r>
      <w:r>
        <w:rPr>
          <w:noProof/>
        </w:rPr>
        <w:tab/>
      </w:r>
      <w:r>
        <w:rPr>
          <w:noProof/>
        </w:rPr>
        <w:fldChar w:fldCharType="begin"/>
      </w:r>
      <w:r>
        <w:rPr>
          <w:noProof/>
        </w:rPr>
        <w:instrText xml:space="preserve"> PAGEREF _Toc500312444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Nursing Service</w:t>
      </w:r>
      <w:r>
        <w:rPr>
          <w:noProof/>
        </w:rPr>
        <w:tab/>
      </w:r>
      <w:r>
        <w:rPr>
          <w:noProof/>
        </w:rPr>
        <w:fldChar w:fldCharType="begin"/>
      </w:r>
      <w:r>
        <w:rPr>
          <w:noProof/>
        </w:rPr>
        <w:instrText xml:space="preserve"> PAGEREF _Toc500312445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Executive Director, Nursing Services &amp; Chief Nurse</w:t>
      </w:r>
      <w:r>
        <w:rPr>
          <w:noProof/>
        </w:rPr>
        <w:tab/>
      </w:r>
      <w:r>
        <w:rPr>
          <w:noProof/>
        </w:rPr>
        <w:fldChar w:fldCharType="begin"/>
      </w:r>
      <w:r>
        <w:rPr>
          <w:noProof/>
        </w:rPr>
        <w:instrText xml:space="preserve"> PAGEREF _Toc500312446 \h </w:instrText>
      </w:r>
      <w:r>
        <w:rPr>
          <w:noProof/>
        </w:rPr>
      </w:r>
      <w:r>
        <w:rPr>
          <w:noProof/>
        </w:rPr>
        <w:fldChar w:fldCharType="separate"/>
      </w:r>
      <w:r>
        <w:rPr>
          <w:noProof/>
        </w:rPr>
        <w:t>2</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Professional Appearance</w:t>
      </w:r>
      <w:r>
        <w:rPr>
          <w:noProof/>
        </w:rPr>
        <w:tab/>
      </w:r>
      <w:r>
        <w:rPr>
          <w:noProof/>
        </w:rPr>
        <w:fldChar w:fldCharType="begin"/>
      </w:r>
      <w:r>
        <w:rPr>
          <w:noProof/>
        </w:rPr>
        <w:instrText xml:space="preserve"> PAGEREF _Toc500312447 \h </w:instrText>
      </w:r>
      <w:r>
        <w:rPr>
          <w:noProof/>
        </w:rPr>
      </w:r>
      <w:r>
        <w:rPr>
          <w:noProof/>
        </w:rPr>
        <w:fldChar w:fldCharType="separate"/>
      </w:r>
      <w:r>
        <w:rPr>
          <w:noProof/>
        </w:rPr>
        <w:t>2</w:t>
      </w:r>
      <w:r>
        <w:rPr>
          <w:noProof/>
        </w:rPr>
        <w:fldChar w:fldCharType="end"/>
      </w:r>
    </w:p>
    <w:p w:rsidR="00B14F64" w:rsidRDefault="00B14F64">
      <w:pPr>
        <w:pStyle w:val="TOC2"/>
        <w:rPr>
          <w:rFonts w:asciiTheme="minorHAnsi" w:eastAsiaTheme="minorEastAsia" w:hAnsiTheme="minorHAnsi" w:cstheme="minorBidi"/>
          <w:b w:val="0"/>
          <w:noProof/>
          <w:lang w:eastAsia="en-AU"/>
        </w:rPr>
      </w:pPr>
      <w:r>
        <w:rPr>
          <w:noProof/>
        </w:rPr>
        <w:t>RCH Nursing Competency Framework</w:t>
      </w:r>
      <w:r>
        <w:rPr>
          <w:noProof/>
        </w:rPr>
        <w:tab/>
      </w:r>
      <w:r>
        <w:rPr>
          <w:noProof/>
        </w:rPr>
        <w:fldChar w:fldCharType="begin"/>
      </w:r>
      <w:r>
        <w:rPr>
          <w:noProof/>
        </w:rPr>
        <w:instrText xml:space="preserve"> PAGEREF _Toc500312448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Familiarisation</w:t>
      </w:r>
      <w:r>
        <w:rPr>
          <w:noProof/>
        </w:rPr>
        <w:tab/>
      </w:r>
      <w:r>
        <w:rPr>
          <w:noProof/>
        </w:rPr>
        <w:fldChar w:fldCharType="begin"/>
      </w:r>
      <w:r>
        <w:rPr>
          <w:noProof/>
        </w:rPr>
        <w:instrText xml:space="preserve"> PAGEREF _Toc500312449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Supernumerary Time</w:t>
      </w:r>
      <w:r>
        <w:rPr>
          <w:noProof/>
        </w:rPr>
        <w:tab/>
      </w:r>
      <w:r>
        <w:rPr>
          <w:noProof/>
        </w:rPr>
        <w:fldChar w:fldCharType="begin"/>
      </w:r>
      <w:r>
        <w:rPr>
          <w:noProof/>
        </w:rPr>
        <w:instrText xml:space="preserve"> PAGEREF _Toc500312450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Preceptorship</w:t>
      </w:r>
      <w:r>
        <w:rPr>
          <w:noProof/>
        </w:rPr>
        <w:tab/>
      </w:r>
      <w:r>
        <w:rPr>
          <w:noProof/>
        </w:rPr>
        <w:fldChar w:fldCharType="begin"/>
      </w:r>
      <w:r>
        <w:rPr>
          <w:noProof/>
        </w:rPr>
        <w:instrText xml:space="preserve"> PAGEREF _Toc500312451 \h </w:instrText>
      </w:r>
      <w:r>
        <w:rPr>
          <w:noProof/>
        </w:rPr>
      </w:r>
      <w:r>
        <w:rPr>
          <w:noProof/>
        </w:rPr>
        <w:fldChar w:fldCharType="separate"/>
      </w:r>
      <w:r>
        <w:rPr>
          <w:noProof/>
        </w:rPr>
        <w:t>3</w:t>
      </w:r>
      <w:r>
        <w:rPr>
          <w:noProof/>
        </w:rPr>
        <w:fldChar w:fldCharType="end"/>
      </w:r>
    </w:p>
    <w:p w:rsidR="00B14F64" w:rsidRDefault="00B14F64">
      <w:pPr>
        <w:pStyle w:val="TOC2"/>
        <w:rPr>
          <w:rFonts w:asciiTheme="minorHAnsi" w:eastAsiaTheme="minorEastAsia" w:hAnsiTheme="minorHAnsi" w:cstheme="minorBidi"/>
          <w:b w:val="0"/>
          <w:noProof/>
          <w:lang w:eastAsia="en-AU"/>
        </w:rPr>
      </w:pPr>
      <w:r>
        <w:rPr>
          <w:noProof/>
        </w:rPr>
        <w:t>Demonstration of Competence</w:t>
      </w:r>
      <w:r>
        <w:rPr>
          <w:noProof/>
        </w:rPr>
        <w:tab/>
      </w:r>
      <w:r>
        <w:rPr>
          <w:noProof/>
        </w:rPr>
        <w:fldChar w:fldCharType="begin"/>
      </w:r>
      <w:r>
        <w:rPr>
          <w:noProof/>
        </w:rPr>
        <w:instrText xml:space="preserve"> PAGEREF _Toc500312452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Self-Assessment</w:t>
      </w:r>
      <w:r>
        <w:rPr>
          <w:noProof/>
        </w:rPr>
        <w:tab/>
      </w:r>
      <w:r>
        <w:rPr>
          <w:noProof/>
        </w:rPr>
        <w:fldChar w:fldCharType="begin"/>
      </w:r>
      <w:r>
        <w:rPr>
          <w:noProof/>
        </w:rPr>
        <w:instrText xml:space="preserve"> PAGEREF _Toc500312453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lang w:val="en-US"/>
        </w:rPr>
        <w:t>Observations of Practice</w:t>
      </w:r>
      <w:r>
        <w:rPr>
          <w:noProof/>
        </w:rPr>
        <w:tab/>
      </w:r>
      <w:r>
        <w:rPr>
          <w:noProof/>
        </w:rPr>
        <w:fldChar w:fldCharType="begin"/>
      </w:r>
      <w:r>
        <w:rPr>
          <w:noProof/>
        </w:rPr>
        <w:instrText xml:space="preserve"> PAGEREF _Toc500312454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lang w:val="en-US"/>
        </w:rPr>
        <w:t>Discussion / Questioning / Interviewing</w:t>
      </w:r>
      <w:r>
        <w:rPr>
          <w:noProof/>
        </w:rPr>
        <w:tab/>
      </w:r>
      <w:r>
        <w:rPr>
          <w:noProof/>
        </w:rPr>
        <w:fldChar w:fldCharType="begin"/>
      </w:r>
      <w:r>
        <w:rPr>
          <w:noProof/>
        </w:rPr>
        <w:instrText xml:space="preserve"> PAGEREF _Toc500312455 \h </w:instrText>
      </w:r>
      <w:r>
        <w:rPr>
          <w:noProof/>
        </w:rPr>
      </w:r>
      <w:r>
        <w:rPr>
          <w:noProof/>
        </w:rPr>
        <w:fldChar w:fldCharType="separate"/>
      </w:r>
      <w:r>
        <w:rPr>
          <w:noProof/>
        </w:rPr>
        <w:t>3</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lang w:val="en-US"/>
        </w:rPr>
        <w:t>Learning Packages / Quizzes</w:t>
      </w:r>
      <w:r>
        <w:rPr>
          <w:noProof/>
        </w:rPr>
        <w:tab/>
      </w:r>
      <w:r>
        <w:rPr>
          <w:noProof/>
        </w:rPr>
        <w:fldChar w:fldCharType="begin"/>
      </w:r>
      <w:r>
        <w:rPr>
          <w:noProof/>
        </w:rPr>
        <w:instrText xml:space="preserve"> PAGEREF _Toc500312456 \h </w:instrText>
      </w:r>
      <w:r>
        <w:rPr>
          <w:noProof/>
        </w:rPr>
      </w:r>
      <w:r>
        <w:rPr>
          <w:noProof/>
        </w:rPr>
        <w:fldChar w:fldCharType="separate"/>
      </w:r>
      <w:r>
        <w:rPr>
          <w:noProof/>
        </w:rPr>
        <w:t>4</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sidRPr="00683A95">
        <w:rPr>
          <w:noProof/>
          <w:lang w:val="en-US"/>
        </w:rPr>
        <w:t>Professional Practice Portfolio (PPP)</w:t>
      </w:r>
      <w:r>
        <w:rPr>
          <w:noProof/>
        </w:rPr>
        <w:tab/>
      </w:r>
      <w:r>
        <w:rPr>
          <w:noProof/>
        </w:rPr>
        <w:fldChar w:fldCharType="begin"/>
      </w:r>
      <w:r>
        <w:rPr>
          <w:noProof/>
        </w:rPr>
        <w:instrText xml:space="preserve"> PAGEREF _Toc500312457 \h </w:instrText>
      </w:r>
      <w:r>
        <w:rPr>
          <w:noProof/>
        </w:rPr>
      </w:r>
      <w:r>
        <w:rPr>
          <w:noProof/>
        </w:rPr>
        <w:fldChar w:fldCharType="separate"/>
      </w:r>
      <w:r>
        <w:rPr>
          <w:noProof/>
        </w:rPr>
        <w:t>4</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Continuing Professional Development</w:t>
      </w:r>
      <w:r>
        <w:rPr>
          <w:noProof/>
        </w:rPr>
        <w:tab/>
      </w:r>
      <w:r>
        <w:rPr>
          <w:noProof/>
        </w:rPr>
        <w:fldChar w:fldCharType="begin"/>
      </w:r>
      <w:r>
        <w:rPr>
          <w:noProof/>
        </w:rPr>
        <w:instrText xml:space="preserve"> PAGEREF _Toc500312458 \h </w:instrText>
      </w:r>
      <w:r>
        <w:rPr>
          <w:noProof/>
        </w:rPr>
      </w:r>
      <w:r>
        <w:rPr>
          <w:noProof/>
        </w:rPr>
        <w:fldChar w:fldCharType="separate"/>
      </w:r>
      <w:r>
        <w:rPr>
          <w:noProof/>
        </w:rPr>
        <w:t>4</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Performance and Development Assessment Program (PDAP)</w:t>
      </w:r>
      <w:r>
        <w:rPr>
          <w:noProof/>
        </w:rPr>
        <w:tab/>
      </w:r>
      <w:r>
        <w:rPr>
          <w:noProof/>
        </w:rPr>
        <w:fldChar w:fldCharType="begin"/>
      </w:r>
      <w:r>
        <w:rPr>
          <w:noProof/>
        </w:rPr>
        <w:instrText xml:space="preserve"> PAGEREF _Toc500312459 \h </w:instrText>
      </w:r>
      <w:r>
        <w:rPr>
          <w:noProof/>
        </w:rPr>
      </w:r>
      <w:r>
        <w:rPr>
          <w:noProof/>
        </w:rPr>
        <w:fldChar w:fldCharType="separate"/>
      </w:r>
      <w:r>
        <w:rPr>
          <w:noProof/>
        </w:rPr>
        <w:t>4</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RCH Nursing Pathway</w:t>
      </w:r>
      <w:r>
        <w:rPr>
          <w:noProof/>
        </w:rPr>
        <w:tab/>
      </w:r>
      <w:r>
        <w:rPr>
          <w:noProof/>
        </w:rPr>
        <w:fldChar w:fldCharType="begin"/>
      </w:r>
      <w:r>
        <w:rPr>
          <w:noProof/>
        </w:rPr>
        <w:instrText xml:space="preserve"> PAGEREF _Toc500312460 \h </w:instrText>
      </w:r>
      <w:r>
        <w:rPr>
          <w:noProof/>
        </w:rPr>
      </w:r>
      <w:r>
        <w:rPr>
          <w:noProof/>
        </w:rPr>
        <w:fldChar w:fldCharType="separate"/>
      </w:r>
      <w:r>
        <w:rPr>
          <w:noProof/>
        </w:rPr>
        <w:t>5</w:t>
      </w:r>
      <w:r>
        <w:rPr>
          <w:noProof/>
        </w:rPr>
        <w:fldChar w:fldCharType="end"/>
      </w:r>
    </w:p>
    <w:p w:rsidR="00B14F64" w:rsidRDefault="00B14F64">
      <w:pPr>
        <w:pStyle w:val="TOC2"/>
        <w:rPr>
          <w:rFonts w:asciiTheme="minorHAnsi" w:eastAsiaTheme="minorEastAsia" w:hAnsiTheme="minorHAnsi" w:cstheme="minorBidi"/>
          <w:b w:val="0"/>
          <w:noProof/>
          <w:lang w:eastAsia="en-AU"/>
        </w:rPr>
      </w:pPr>
      <w:r w:rsidRPr="00683A95">
        <w:rPr>
          <w:noProof/>
          <w:color w:val="000000" w:themeColor="text1"/>
        </w:rPr>
        <w:t>Useful Resources</w:t>
      </w:r>
      <w:r>
        <w:rPr>
          <w:noProof/>
        </w:rPr>
        <w:tab/>
      </w:r>
      <w:r>
        <w:rPr>
          <w:noProof/>
        </w:rPr>
        <w:fldChar w:fldCharType="begin"/>
      </w:r>
      <w:r>
        <w:rPr>
          <w:noProof/>
        </w:rPr>
        <w:instrText xml:space="preserve"> PAGEREF _Toc500312461 \h </w:instrText>
      </w:r>
      <w:r>
        <w:rPr>
          <w:noProof/>
        </w:rPr>
      </w:r>
      <w:r>
        <w:rPr>
          <w:noProof/>
        </w:rPr>
        <w:fldChar w:fldCharType="separate"/>
      </w:r>
      <w:r>
        <w:rPr>
          <w:noProof/>
        </w:rPr>
        <w:t>6</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Recommended paediatric nursing texts include</w:t>
      </w:r>
      <w:r>
        <w:rPr>
          <w:noProof/>
        </w:rPr>
        <w:tab/>
      </w:r>
      <w:r>
        <w:rPr>
          <w:noProof/>
        </w:rPr>
        <w:fldChar w:fldCharType="begin"/>
      </w:r>
      <w:r>
        <w:rPr>
          <w:noProof/>
        </w:rPr>
        <w:instrText xml:space="preserve"> PAGEREF _Toc500312462 \h </w:instrText>
      </w:r>
      <w:r>
        <w:rPr>
          <w:noProof/>
        </w:rPr>
      </w:r>
      <w:r>
        <w:rPr>
          <w:noProof/>
        </w:rPr>
        <w:fldChar w:fldCharType="separate"/>
      </w:r>
      <w:r>
        <w:rPr>
          <w:noProof/>
        </w:rPr>
        <w:t>6</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National Safety &amp; Quality Health Service Standards</w:t>
      </w:r>
      <w:r>
        <w:rPr>
          <w:noProof/>
        </w:rPr>
        <w:tab/>
      </w:r>
      <w:r>
        <w:rPr>
          <w:noProof/>
        </w:rPr>
        <w:fldChar w:fldCharType="begin"/>
      </w:r>
      <w:r>
        <w:rPr>
          <w:noProof/>
        </w:rPr>
        <w:instrText xml:space="preserve"> PAGEREF _Toc500312463 \h </w:instrText>
      </w:r>
      <w:r>
        <w:rPr>
          <w:noProof/>
        </w:rPr>
      </w:r>
      <w:r>
        <w:rPr>
          <w:noProof/>
        </w:rPr>
        <w:fldChar w:fldCharType="separate"/>
      </w:r>
      <w:r>
        <w:rPr>
          <w:noProof/>
        </w:rPr>
        <w:t>6</w:t>
      </w:r>
      <w:r>
        <w:rPr>
          <w:noProof/>
        </w:rPr>
        <w:fldChar w:fldCharType="end"/>
      </w:r>
    </w:p>
    <w:p w:rsidR="00B14F64" w:rsidRDefault="00B14F64">
      <w:pPr>
        <w:pStyle w:val="TOC2"/>
        <w:rPr>
          <w:rFonts w:asciiTheme="minorHAnsi" w:eastAsiaTheme="minorEastAsia" w:hAnsiTheme="minorHAnsi" w:cstheme="minorBidi"/>
          <w:b w:val="0"/>
          <w:noProof/>
          <w:lang w:eastAsia="en-AU"/>
        </w:rPr>
      </w:pPr>
      <w:r>
        <w:rPr>
          <w:noProof/>
        </w:rPr>
        <w:t>An Overview of Key Clinical Areas</w:t>
      </w:r>
      <w:r>
        <w:rPr>
          <w:noProof/>
        </w:rPr>
        <w:tab/>
      </w:r>
      <w:r>
        <w:rPr>
          <w:noProof/>
        </w:rPr>
        <w:fldChar w:fldCharType="begin"/>
      </w:r>
      <w:r>
        <w:rPr>
          <w:noProof/>
        </w:rPr>
        <w:instrText xml:space="preserve"> PAGEREF _Toc500312464 \h </w:instrText>
      </w:r>
      <w:r>
        <w:rPr>
          <w:noProof/>
        </w:rPr>
      </w:r>
      <w:r>
        <w:rPr>
          <w:noProof/>
        </w:rPr>
        <w:fldChar w:fldCharType="separate"/>
      </w:r>
      <w:r>
        <w:rPr>
          <w:noProof/>
        </w:rPr>
        <w:t>7</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North building</w:t>
      </w:r>
      <w:r>
        <w:rPr>
          <w:noProof/>
        </w:rPr>
        <w:tab/>
      </w:r>
      <w:r>
        <w:rPr>
          <w:noProof/>
        </w:rPr>
        <w:fldChar w:fldCharType="begin"/>
      </w:r>
      <w:r>
        <w:rPr>
          <w:noProof/>
        </w:rPr>
        <w:instrText xml:space="preserve"> PAGEREF _Toc500312465 \h </w:instrText>
      </w:r>
      <w:r>
        <w:rPr>
          <w:noProof/>
        </w:rPr>
      </w:r>
      <w:r>
        <w:rPr>
          <w:noProof/>
        </w:rPr>
        <w:fldChar w:fldCharType="separate"/>
      </w:r>
      <w:r>
        <w:rPr>
          <w:noProof/>
        </w:rPr>
        <w:t>7</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East building</w:t>
      </w:r>
      <w:r>
        <w:rPr>
          <w:noProof/>
        </w:rPr>
        <w:tab/>
      </w:r>
      <w:r>
        <w:rPr>
          <w:noProof/>
        </w:rPr>
        <w:fldChar w:fldCharType="begin"/>
      </w:r>
      <w:r>
        <w:rPr>
          <w:noProof/>
        </w:rPr>
        <w:instrText xml:space="preserve"> PAGEREF _Toc500312466 \h </w:instrText>
      </w:r>
      <w:r>
        <w:rPr>
          <w:noProof/>
        </w:rPr>
      </w:r>
      <w:r>
        <w:rPr>
          <w:noProof/>
        </w:rPr>
        <w:fldChar w:fldCharType="separate"/>
      </w:r>
      <w:r>
        <w:rPr>
          <w:noProof/>
        </w:rPr>
        <w:t>8</w:t>
      </w:r>
      <w:r>
        <w:rPr>
          <w:noProof/>
        </w:rPr>
        <w:fldChar w:fldCharType="end"/>
      </w:r>
    </w:p>
    <w:p w:rsidR="00B14F64" w:rsidRDefault="00B14F64">
      <w:pPr>
        <w:pStyle w:val="TOC3"/>
        <w:rPr>
          <w:rFonts w:asciiTheme="minorHAnsi" w:eastAsiaTheme="minorEastAsia" w:hAnsiTheme="minorHAnsi" w:cstheme="minorBidi"/>
          <w:noProof/>
          <w:sz w:val="22"/>
          <w:szCs w:val="22"/>
          <w:lang w:eastAsia="en-AU"/>
        </w:rPr>
      </w:pPr>
      <w:r>
        <w:rPr>
          <w:noProof/>
        </w:rPr>
        <w:t>West building</w:t>
      </w:r>
      <w:r>
        <w:rPr>
          <w:noProof/>
        </w:rPr>
        <w:tab/>
      </w:r>
      <w:r>
        <w:rPr>
          <w:noProof/>
        </w:rPr>
        <w:fldChar w:fldCharType="begin"/>
      </w:r>
      <w:r>
        <w:rPr>
          <w:noProof/>
        </w:rPr>
        <w:instrText xml:space="preserve"> PAGEREF _Toc500312467 \h </w:instrText>
      </w:r>
      <w:r>
        <w:rPr>
          <w:noProof/>
        </w:rPr>
      </w:r>
      <w:r>
        <w:rPr>
          <w:noProof/>
        </w:rPr>
        <w:fldChar w:fldCharType="separate"/>
      </w:r>
      <w:r>
        <w:rPr>
          <w:noProof/>
        </w:rPr>
        <w:t>9</w:t>
      </w:r>
      <w:r>
        <w:rPr>
          <w:noProof/>
        </w:rPr>
        <w:fldChar w:fldCharType="end"/>
      </w:r>
    </w:p>
    <w:p w:rsidR="00B14F64" w:rsidRDefault="00B14F64">
      <w:pPr>
        <w:pStyle w:val="TOC2"/>
        <w:rPr>
          <w:rFonts w:asciiTheme="minorHAnsi" w:eastAsiaTheme="minorEastAsia" w:hAnsiTheme="minorHAnsi" w:cstheme="minorBidi"/>
          <w:b w:val="0"/>
          <w:noProof/>
          <w:lang w:eastAsia="en-AU"/>
        </w:rPr>
      </w:pPr>
      <w:r>
        <w:rPr>
          <w:noProof/>
        </w:rPr>
        <w:t>References</w:t>
      </w:r>
      <w:r>
        <w:rPr>
          <w:noProof/>
        </w:rPr>
        <w:tab/>
      </w:r>
      <w:r>
        <w:rPr>
          <w:noProof/>
        </w:rPr>
        <w:fldChar w:fldCharType="begin"/>
      </w:r>
      <w:r>
        <w:rPr>
          <w:noProof/>
        </w:rPr>
        <w:instrText xml:space="preserve"> PAGEREF _Toc500312468 \h </w:instrText>
      </w:r>
      <w:r>
        <w:rPr>
          <w:noProof/>
        </w:rPr>
      </w:r>
      <w:r>
        <w:rPr>
          <w:noProof/>
        </w:rPr>
        <w:fldChar w:fldCharType="separate"/>
      </w:r>
      <w:r>
        <w:rPr>
          <w:noProof/>
        </w:rPr>
        <w:t>10</w:t>
      </w:r>
      <w:r>
        <w:rPr>
          <w:noProof/>
        </w:rPr>
        <w:fldChar w:fldCharType="end"/>
      </w:r>
    </w:p>
    <w:p w:rsidR="00A65E43" w:rsidRPr="00A65E43" w:rsidRDefault="00A65E43" w:rsidP="00A65E43">
      <w:r w:rsidRPr="00A65E43">
        <w:fldChar w:fldCharType="end"/>
      </w:r>
    </w:p>
    <w:p w:rsidR="00B14B99" w:rsidRDefault="00B14B99" w:rsidP="00B14B99"/>
    <w:p w:rsidR="00B14B99" w:rsidRDefault="00B14B99" w:rsidP="00B14B99"/>
    <w:p w:rsidR="00B14B99" w:rsidRDefault="00B14B99" w:rsidP="00B14B99"/>
    <w:p w:rsidR="00D24982" w:rsidRPr="00B14B99" w:rsidRDefault="00D24982" w:rsidP="00B14B99">
      <w:pPr>
        <w:pStyle w:val="Heading2"/>
        <w:rPr>
          <w:szCs w:val="24"/>
        </w:rPr>
      </w:pPr>
      <w:bookmarkStart w:id="2" w:name="_Toc346092319"/>
      <w:bookmarkStart w:id="3" w:name="_Toc500312431"/>
      <w:r w:rsidRPr="00B14B99">
        <w:rPr>
          <w:szCs w:val="24"/>
        </w:rPr>
        <w:t>Welcome to the Royal Children’s Hospital</w:t>
      </w:r>
      <w:bookmarkEnd w:id="2"/>
      <w:bookmarkEnd w:id="3"/>
      <w:r w:rsidRPr="00B14B99">
        <w:rPr>
          <w:szCs w:val="24"/>
        </w:rPr>
        <w:t xml:space="preserve"> </w:t>
      </w:r>
    </w:p>
    <w:p w:rsidR="00D24982" w:rsidRPr="00D7099A" w:rsidRDefault="00D24982" w:rsidP="00212A2F">
      <w:pPr>
        <w:spacing w:after="120"/>
        <w:jc w:val="both"/>
        <w:rPr>
          <w:rFonts w:cs="Arial"/>
        </w:rPr>
      </w:pPr>
      <w:r w:rsidRPr="00D7099A">
        <w:rPr>
          <w:rFonts w:cs="Arial"/>
        </w:rPr>
        <w:t xml:space="preserve">The Royal Children’s Hospital (RCH) has been providing outstanding care for Victorian children and their families for </w:t>
      </w:r>
      <w:r w:rsidR="00102FDE">
        <w:rPr>
          <w:rFonts w:cs="Arial"/>
        </w:rPr>
        <w:t>nearly 150 years</w:t>
      </w:r>
      <w:r w:rsidRPr="00D7099A">
        <w:rPr>
          <w:rFonts w:cs="Arial"/>
        </w:rPr>
        <w:t>.</w:t>
      </w:r>
      <w:r w:rsidR="0094457B">
        <w:rPr>
          <w:rFonts w:cs="Arial"/>
        </w:rPr>
        <w:t xml:space="preserve"> </w:t>
      </w:r>
      <w:r w:rsidRPr="00D7099A">
        <w:rPr>
          <w:rFonts w:cs="Arial"/>
        </w:rPr>
        <w:t xml:space="preserve">We are the major specialist paediatric hospital in Victoria and our care extends to children from Tasmania, southern New South Wales, </w:t>
      </w:r>
      <w:r w:rsidR="0040620E" w:rsidRPr="00D7099A">
        <w:rPr>
          <w:rFonts w:cs="Arial"/>
        </w:rPr>
        <w:t>and other</w:t>
      </w:r>
      <w:r w:rsidRPr="00D7099A">
        <w:rPr>
          <w:rFonts w:cs="Arial"/>
        </w:rPr>
        <w:t xml:space="preserve"> states around Australia and overseas. </w:t>
      </w:r>
    </w:p>
    <w:p w:rsidR="00D24982" w:rsidRPr="00D7099A" w:rsidRDefault="00D24982" w:rsidP="00212A2F">
      <w:pPr>
        <w:spacing w:after="120"/>
        <w:jc w:val="both"/>
        <w:rPr>
          <w:rFonts w:cs="Arial"/>
        </w:rPr>
      </w:pPr>
      <w:r w:rsidRPr="00D7099A">
        <w:rPr>
          <w:rFonts w:cs="Arial"/>
        </w:rPr>
        <w:t xml:space="preserve">With a passionate, highly skilled and committed staff of </w:t>
      </w:r>
      <w:r w:rsidR="00924B01">
        <w:rPr>
          <w:rFonts w:cs="Arial"/>
        </w:rPr>
        <w:t>nearly 4,000 people,</w:t>
      </w:r>
      <w:r w:rsidRPr="00D7099A">
        <w:rPr>
          <w:rFonts w:cs="Arial"/>
        </w:rPr>
        <w:t xml:space="preserve"> we provide a full range of clinical services, tertiary care and health promotion and prevention programs for children and adolescents.</w:t>
      </w:r>
    </w:p>
    <w:p w:rsidR="00D24982" w:rsidRPr="00D7099A" w:rsidRDefault="00D24982" w:rsidP="00212A2F">
      <w:pPr>
        <w:spacing w:after="120"/>
        <w:jc w:val="both"/>
        <w:rPr>
          <w:rFonts w:cs="Arial"/>
        </w:rPr>
      </w:pPr>
      <w:r w:rsidRPr="00D7099A">
        <w:rPr>
          <w:rFonts w:cs="Arial"/>
        </w:rPr>
        <w:t>We are the designated state-wide major trauma centre for paediatrics in Victoria and a Nationally Funded Centre for cardiac and liver transplantation and hypoplastic left heart syndrome.</w:t>
      </w:r>
    </w:p>
    <w:p w:rsidR="00D24982" w:rsidRPr="00D7099A" w:rsidRDefault="00D24982" w:rsidP="00212A2F">
      <w:pPr>
        <w:spacing w:after="120"/>
        <w:jc w:val="both"/>
        <w:rPr>
          <w:rFonts w:cs="Arial"/>
          <w:lang w:val="en-US"/>
        </w:rPr>
      </w:pPr>
      <w:r w:rsidRPr="00D7099A">
        <w:rPr>
          <w:rFonts w:cs="Arial"/>
        </w:rPr>
        <w:t>When it comes to training and research we partner with the very best. Our campus partners, Murdoch Children’s Research Institute and The University of Melbourne Department of Paediatrics are on site with the hospital in Parkville. Together, we are committed to improving the health outcomes for children today and in the future.</w:t>
      </w:r>
    </w:p>
    <w:p w:rsidR="00D24982" w:rsidRPr="00B14B99" w:rsidRDefault="00D24982" w:rsidP="00B14B99">
      <w:pPr>
        <w:pStyle w:val="Heading3"/>
      </w:pPr>
      <w:bookmarkStart w:id="4" w:name="_Toc346092320"/>
      <w:bookmarkStart w:id="5" w:name="_Toc500312432"/>
      <w:r w:rsidRPr="00B14B99">
        <w:t>RCH Vision</w:t>
      </w:r>
      <w:bookmarkEnd w:id="4"/>
      <w:bookmarkEnd w:id="5"/>
    </w:p>
    <w:p w:rsidR="00D24982" w:rsidRPr="00D7099A" w:rsidRDefault="00D24982" w:rsidP="00B14B99">
      <w:pPr>
        <w:spacing w:after="120"/>
        <w:jc w:val="both"/>
        <w:rPr>
          <w:rFonts w:cs="Arial"/>
        </w:rPr>
      </w:pPr>
      <w:r w:rsidRPr="00D7099A">
        <w:rPr>
          <w:rFonts w:cs="Arial"/>
        </w:rPr>
        <w:t>The Royal Children’s Hospital, a GREAT children’s hospital, leading the way.</w:t>
      </w:r>
    </w:p>
    <w:p w:rsidR="00D24982" w:rsidRPr="00D7099A" w:rsidRDefault="00D24982" w:rsidP="00B14B99">
      <w:pPr>
        <w:pStyle w:val="Heading3"/>
      </w:pPr>
      <w:bookmarkStart w:id="6" w:name="_Toc346092321"/>
      <w:bookmarkStart w:id="7" w:name="_Toc500312433"/>
      <w:r w:rsidRPr="00D7099A">
        <w:t>RCH Mission</w:t>
      </w:r>
      <w:bookmarkEnd w:id="6"/>
      <w:bookmarkEnd w:id="7"/>
    </w:p>
    <w:p w:rsidR="00D24982" w:rsidRPr="00D7099A" w:rsidRDefault="00D24982" w:rsidP="00B14B99">
      <w:pPr>
        <w:spacing w:after="120"/>
        <w:jc w:val="both"/>
        <w:rPr>
          <w:rFonts w:cs="Arial"/>
        </w:rPr>
      </w:pPr>
      <w:r w:rsidRPr="00D7099A">
        <w:rPr>
          <w:rFonts w:cs="Arial"/>
        </w:rPr>
        <w:t>The Royal Children’s Hospital improves the health and wellbeing of children and adolescents through leadership in healthcare, research and education.</w:t>
      </w:r>
    </w:p>
    <w:p w:rsidR="00D24982" w:rsidRPr="00D7099A" w:rsidRDefault="00D24982" w:rsidP="00B14B99">
      <w:pPr>
        <w:pStyle w:val="Heading3"/>
      </w:pPr>
      <w:bookmarkStart w:id="8" w:name="_Toc346092322"/>
      <w:bookmarkStart w:id="9" w:name="_Toc500312434"/>
      <w:r w:rsidRPr="00D7099A">
        <w:t>RCH Values</w:t>
      </w:r>
      <w:bookmarkEnd w:id="8"/>
      <w:bookmarkEnd w:id="9"/>
      <w:r w:rsidRPr="00D7099A">
        <w:t xml:space="preserve"> </w:t>
      </w:r>
    </w:p>
    <w:p w:rsidR="00D24982" w:rsidRPr="0094457B" w:rsidRDefault="00D24982" w:rsidP="00D24982">
      <w:pPr>
        <w:jc w:val="both"/>
        <w:rPr>
          <w:rFonts w:cs="Arial"/>
          <w:b/>
          <w:i/>
        </w:rPr>
      </w:pPr>
      <w:r w:rsidRPr="00D7099A">
        <w:rPr>
          <w:rFonts w:cs="Arial"/>
          <w:b/>
          <w:i/>
        </w:rPr>
        <w:t>Unity</w:t>
      </w:r>
      <w:r w:rsidR="0094457B">
        <w:rPr>
          <w:rFonts w:cs="Arial"/>
          <w:b/>
          <w:i/>
        </w:rPr>
        <w:t xml:space="preserve"> - </w:t>
      </w:r>
      <w:r w:rsidRPr="00D7099A">
        <w:rPr>
          <w:rFonts w:cs="Arial"/>
        </w:rPr>
        <w:t>We work as a team and in partnership with our communities</w:t>
      </w:r>
    </w:p>
    <w:p w:rsidR="00D24982" w:rsidRPr="00D7099A" w:rsidRDefault="00D24982" w:rsidP="00D24982">
      <w:pPr>
        <w:jc w:val="both"/>
        <w:rPr>
          <w:rFonts w:cs="Arial"/>
        </w:rPr>
      </w:pPr>
      <w:r w:rsidRPr="00D7099A">
        <w:rPr>
          <w:rFonts w:cs="Arial"/>
          <w:b/>
          <w:i/>
        </w:rPr>
        <w:t>Respect</w:t>
      </w:r>
      <w:r w:rsidRPr="00D7099A">
        <w:rPr>
          <w:rFonts w:cs="Arial"/>
        </w:rPr>
        <w:t xml:space="preserve"> </w:t>
      </w:r>
      <w:r w:rsidR="0094457B">
        <w:rPr>
          <w:rFonts w:cs="Arial"/>
        </w:rPr>
        <w:t xml:space="preserve">- </w:t>
      </w:r>
      <w:r w:rsidRPr="00D7099A">
        <w:rPr>
          <w:rFonts w:cs="Arial"/>
        </w:rPr>
        <w:t>We respect the rights of all and treat people the way that we’d like them to treat us</w:t>
      </w:r>
    </w:p>
    <w:p w:rsidR="00D24982" w:rsidRPr="0094457B" w:rsidRDefault="00D24982" w:rsidP="00D24982">
      <w:pPr>
        <w:jc w:val="both"/>
        <w:rPr>
          <w:rFonts w:cs="Arial"/>
        </w:rPr>
      </w:pPr>
      <w:r w:rsidRPr="00D7099A">
        <w:rPr>
          <w:rFonts w:cs="Arial"/>
          <w:b/>
          <w:i/>
        </w:rPr>
        <w:t>Integrity</w:t>
      </w:r>
      <w:r w:rsidR="0094457B">
        <w:rPr>
          <w:rFonts w:cs="Arial"/>
        </w:rPr>
        <w:t xml:space="preserve"> - </w:t>
      </w:r>
      <w:r w:rsidRPr="00D7099A">
        <w:rPr>
          <w:rFonts w:cs="Arial"/>
        </w:rPr>
        <w:t>We believe that how we work is as important as what we do</w:t>
      </w:r>
    </w:p>
    <w:p w:rsidR="00D24982" w:rsidRPr="0094457B" w:rsidRDefault="00D24982" w:rsidP="0094457B">
      <w:pPr>
        <w:jc w:val="both"/>
        <w:rPr>
          <w:rFonts w:cs="Arial"/>
          <w:b/>
        </w:rPr>
      </w:pPr>
      <w:r w:rsidRPr="009A0D08">
        <w:rPr>
          <w:rFonts w:cs="Arial"/>
          <w:b/>
          <w:i/>
        </w:rPr>
        <w:t>Excellence</w:t>
      </w:r>
      <w:r w:rsidR="0094457B">
        <w:rPr>
          <w:rFonts w:cs="Arial"/>
          <w:b/>
        </w:rPr>
        <w:t xml:space="preserve"> - </w:t>
      </w:r>
      <w:r w:rsidRPr="00D7099A">
        <w:rPr>
          <w:rFonts w:cs="Arial"/>
        </w:rPr>
        <w:t>We are committed to achieving our goals and improving outcomes</w:t>
      </w:r>
    </w:p>
    <w:p w:rsidR="0094457B" w:rsidRDefault="0094457B" w:rsidP="0094457B">
      <w:pPr>
        <w:pStyle w:val="Heading3"/>
      </w:pPr>
      <w:bookmarkStart w:id="10" w:name="_Toc500312435"/>
      <w:bookmarkStart w:id="11" w:name="_Toc346092323"/>
      <w:r>
        <w:t>Strategic focus</w:t>
      </w:r>
      <w:bookmarkEnd w:id="10"/>
    </w:p>
    <w:p w:rsidR="0094457B" w:rsidRDefault="0094457B" w:rsidP="00B14F64">
      <w:pPr>
        <w:pStyle w:val="Heading3"/>
        <w:rPr>
          <w:b w:val="0"/>
        </w:rPr>
      </w:pPr>
      <w:bookmarkStart w:id="12" w:name="_Toc500312436"/>
      <w:r w:rsidRPr="00BA40AE">
        <w:rPr>
          <w:b w:val="0"/>
        </w:rPr>
        <w:t>Deliver Great Care</w:t>
      </w:r>
      <w:bookmarkEnd w:id="12"/>
    </w:p>
    <w:p w:rsidR="00B14F64" w:rsidRDefault="00B14F64" w:rsidP="00B14F64"/>
    <w:p w:rsidR="00B14F64" w:rsidRPr="00B14F64" w:rsidRDefault="00B14F64" w:rsidP="00B14F64">
      <w:r>
        <w:rPr>
          <w:noProof/>
          <w:lang w:eastAsia="en-AU"/>
        </w:rPr>
        <w:drawing>
          <wp:inline distT="0" distB="0" distL="0" distR="0" wp14:anchorId="7F2FE4FC" wp14:editId="6B709C18">
            <wp:extent cx="184785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215" t="35798" r="18466" b="16888"/>
                    <a:stretch/>
                  </pic:blipFill>
                  <pic:spPr bwMode="auto">
                    <a:xfrm>
                      <a:off x="0" y="0"/>
                      <a:ext cx="1847850" cy="1800225"/>
                    </a:xfrm>
                    <a:prstGeom prst="rect">
                      <a:avLst/>
                    </a:prstGeom>
                    <a:ln>
                      <a:noFill/>
                    </a:ln>
                    <a:extLst>
                      <a:ext uri="{53640926-AAD7-44D8-BBD7-CCE9431645EC}">
                        <a14:shadowObscured xmlns:a14="http://schemas.microsoft.com/office/drawing/2010/main"/>
                      </a:ext>
                    </a:extLst>
                  </pic:spPr>
                </pic:pic>
              </a:graphicData>
            </a:graphic>
          </wp:inline>
        </w:drawing>
      </w:r>
    </w:p>
    <w:p w:rsidR="0094457B" w:rsidRPr="00BA40AE" w:rsidRDefault="0094457B" w:rsidP="0094457B"/>
    <w:p w:rsidR="0094457B" w:rsidRPr="00D7099A" w:rsidRDefault="0094457B" w:rsidP="0094457B">
      <w:pPr>
        <w:pStyle w:val="Heading3"/>
      </w:pPr>
      <w:bookmarkStart w:id="13" w:name="_Toc500312437"/>
      <w:r w:rsidRPr="0094457B">
        <w:t>RCH Strate</w:t>
      </w:r>
      <w:r w:rsidRPr="00D7099A">
        <w:t xml:space="preserve">gic </w:t>
      </w:r>
      <w:bookmarkEnd w:id="11"/>
      <w:r>
        <w:t>Priorities</w:t>
      </w:r>
      <w:bookmarkEnd w:id="13"/>
    </w:p>
    <w:p w:rsidR="0094457B" w:rsidRPr="0094457B" w:rsidRDefault="0094457B" w:rsidP="0094457B">
      <w:pPr>
        <w:pStyle w:val="ListParagraph"/>
        <w:numPr>
          <w:ilvl w:val="0"/>
          <w:numId w:val="11"/>
        </w:numPr>
        <w:spacing w:before="0"/>
        <w:ind w:left="697" w:right="340" w:hanging="357"/>
        <w:contextualSpacing w:val="0"/>
        <w:jc w:val="both"/>
        <w:rPr>
          <w:rFonts w:ascii="Verdana" w:hAnsi="Verdana" w:cs="Arial"/>
          <w:sz w:val="20"/>
          <w:szCs w:val="20"/>
        </w:rPr>
      </w:pPr>
      <w:r w:rsidRPr="0094457B">
        <w:rPr>
          <w:rFonts w:ascii="Verdana" w:hAnsi="Verdana" w:cs="Arial"/>
          <w:sz w:val="20"/>
          <w:szCs w:val="20"/>
        </w:rPr>
        <w:t>Collaborate with our local partners to deliver high quality paediatric care to our community</w:t>
      </w:r>
    </w:p>
    <w:p w:rsidR="0094457B" w:rsidRPr="0094457B" w:rsidRDefault="0094457B" w:rsidP="0094457B">
      <w:pPr>
        <w:pStyle w:val="ListParagraph"/>
        <w:numPr>
          <w:ilvl w:val="0"/>
          <w:numId w:val="11"/>
        </w:numPr>
        <w:spacing w:before="0"/>
        <w:ind w:left="697" w:right="340" w:hanging="357"/>
        <w:contextualSpacing w:val="0"/>
        <w:jc w:val="both"/>
        <w:rPr>
          <w:rFonts w:ascii="Verdana" w:hAnsi="Verdana" w:cs="Arial"/>
          <w:sz w:val="20"/>
          <w:szCs w:val="20"/>
        </w:rPr>
      </w:pPr>
      <w:r w:rsidRPr="0094457B">
        <w:rPr>
          <w:rFonts w:ascii="Verdana" w:hAnsi="Verdana" w:cs="Arial"/>
          <w:sz w:val="20"/>
          <w:szCs w:val="20"/>
        </w:rPr>
        <w:t>Become a national centre of excellence for infant, childhood and adolescent mental health</w:t>
      </w:r>
    </w:p>
    <w:p w:rsidR="0094457B" w:rsidRPr="0094457B" w:rsidRDefault="0094457B" w:rsidP="0094457B">
      <w:pPr>
        <w:pStyle w:val="ListParagraph"/>
        <w:numPr>
          <w:ilvl w:val="0"/>
          <w:numId w:val="11"/>
        </w:numPr>
        <w:spacing w:before="0"/>
        <w:ind w:left="697" w:right="340" w:hanging="357"/>
        <w:contextualSpacing w:val="0"/>
        <w:jc w:val="both"/>
        <w:rPr>
          <w:rFonts w:ascii="Verdana" w:hAnsi="Verdana" w:cs="Arial"/>
          <w:sz w:val="20"/>
          <w:szCs w:val="20"/>
        </w:rPr>
      </w:pPr>
      <w:r w:rsidRPr="0094457B">
        <w:rPr>
          <w:rFonts w:ascii="Verdana" w:hAnsi="Verdana" w:cs="Arial"/>
          <w:sz w:val="20"/>
          <w:szCs w:val="20"/>
        </w:rPr>
        <w:t>Build on campus and Parkville Precinct partnerships</w:t>
      </w:r>
    </w:p>
    <w:p w:rsidR="0094457B" w:rsidRDefault="0094457B" w:rsidP="0094457B">
      <w:pPr>
        <w:pStyle w:val="ListParagraph"/>
        <w:numPr>
          <w:ilvl w:val="0"/>
          <w:numId w:val="11"/>
        </w:numPr>
        <w:spacing w:before="0"/>
        <w:ind w:left="697" w:right="340" w:hanging="357"/>
        <w:contextualSpacing w:val="0"/>
        <w:jc w:val="both"/>
        <w:rPr>
          <w:rFonts w:ascii="Verdana" w:hAnsi="Verdana" w:cs="Arial"/>
          <w:sz w:val="20"/>
          <w:szCs w:val="20"/>
        </w:rPr>
      </w:pPr>
      <w:r w:rsidRPr="0094457B">
        <w:rPr>
          <w:rFonts w:ascii="Verdana" w:hAnsi="Verdana" w:cs="Arial"/>
          <w:sz w:val="20"/>
          <w:szCs w:val="20"/>
        </w:rPr>
        <w:t>Establish a sustainable RCH global program</w:t>
      </w:r>
    </w:p>
    <w:p w:rsidR="0094457B" w:rsidRPr="0094457B" w:rsidRDefault="0094457B" w:rsidP="0094457B">
      <w:pPr>
        <w:pStyle w:val="ListParagraph"/>
        <w:spacing w:before="0"/>
        <w:ind w:left="697" w:right="340"/>
        <w:contextualSpacing w:val="0"/>
        <w:jc w:val="both"/>
        <w:rPr>
          <w:rFonts w:ascii="Verdana" w:hAnsi="Verdana" w:cs="Arial"/>
          <w:sz w:val="20"/>
          <w:szCs w:val="20"/>
        </w:rPr>
      </w:pPr>
    </w:p>
    <w:p w:rsidR="0094457B" w:rsidRPr="0094457B" w:rsidRDefault="0094457B" w:rsidP="0094457B">
      <w:pPr>
        <w:pStyle w:val="Heading3"/>
      </w:pPr>
      <w:bookmarkStart w:id="14" w:name="_Toc500312438"/>
      <w:r w:rsidRPr="0094457B">
        <w:t>Our People</w:t>
      </w:r>
      <w:bookmarkEnd w:id="14"/>
    </w:p>
    <w:p w:rsidR="0094457B" w:rsidRPr="0094457B" w:rsidRDefault="0094457B" w:rsidP="0094457B">
      <w:pPr>
        <w:pStyle w:val="ListParagraph"/>
        <w:numPr>
          <w:ilvl w:val="0"/>
          <w:numId w:val="19"/>
        </w:numPr>
        <w:spacing w:before="0"/>
        <w:ind w:right="340"/>
        <w:contextualSpacing w:val="0"/>
        <w:jc w:val="both"/>
        <w:rPr>
          <w:rFonts w:ascii="Verdana" w:hAnsi="Verdana" w:cs="Arial"/>
          <w:sz w:val="20"/>
          <w:szCs w:val="20"/>
        </w:rPr>
      </w:pPr>
      <w:r w:rsidRPr="0094457B">
        <w:rPr>
          <w:rFonts w:ascii="Verdana" w:hAnsi="Verdana" w:cs="Arial"/>
          <w:sz w:val="20"/>
          <w:szCs w:val="20"/>
        </w:rPr>
        <w:t>Be a great place to work; staff are recognized for their achievements, ae happy, safe and provide Great Care</w:t>
      </w:r>
    </w:p>
    <w:p w:rsidR="0094457B" w:rsidRPr="0094457B" w:rsidRDefault="0094457B" w:rsidP="0094457B">
      <w:pPr>
        <w:pStyle w:val="ListParagraph"/>
        <w:numPr>
          <w:ilvl w:val="0"/>
          <w:numId w:val="19"/>
        </w:numPr>
        <w:spacing w:before="0"/>
        <w:ind w:right="340"/>
        <w:contextualSpacing w:val="0"/>
        <w:jc w:val="both"/>
        <w:rPr>
          <w:rFonts w:ascii="Verdana" w:hAnsi="Verdana" w:cs="Arial"/>
          <w:sz w:val="20"/>
          <w:szCs w:val="20"/>
        </w:rPr>
      </w:pPr>
      <w:r w:rsidRPr="0094457B">
        <w:rPr>
          <w:rFonts w:ascii="Verdana" w:hAnsi="Verdana" w:cs="Arial"/>
          <w:sz w:val="20"/>
          <w:szCs w:val="20"/>
        </w:rPr>
        <w:t>Attract and retain quality, skilled staff who add value to our high performing team</w:t>
      </w:r>
    </w:p>
    <w:p w:rsidR="0094457B" w:rsidRDefault="0094457B" w:rsidP="0094457B">
      <w:pPr>
        <w:pStyle w:val="ListParagraph"/>
        <w:numPr>
          <w:ilvl w:val="0"/>
          <w:numId w:val="19"/>
        </w:numPr>
        <w:spacing w:before="0"/>
        <w:ind w:right="340"/>
        <w:contextualSpacing w:val="0"/>
        <w:jc w:val="both"/>
        <w:rPr>
          <w:rFonts w:ascii="Verdana" w:hAnsi="Verdana" w:cs="Arial"/>
          <w:sz w:val="20"/>
          <w:szCs w:val="20"/>
        </w:rPr>
      </w:pPr>
      <w:r w:rsidRPr="0094457B">
        <w:rPr>
          <w:rFonts w:ascii="Verdana" w:hAnsi="Verdana" w:cs="Arial"/>
          <w:sz w:val="20"/>
          <w:szCs w:val="20"/>
        </w:rPr>
        <w:t>Invest in a workforce of the future</w:t>
      </w:r>
    </w:p>
    <w:p w:rsidR="0094457B" w:rsidRPr="0094457B" w:rsidRDefault="0094457B" w:rsidP="0094457B">
      <w:pPr>
        <w:pStyle w:val="ListParagraph"/>
        <w:spacing w:before="0"/>
        <w:ind w:right="340"/>
        <w:contextualSpacing w:val="0"/>
        <w:jc w:val="both"/>
        <w:rPr>
          <w:rFonts w:ascii="Verdana" w:hAnsi="Verdana" w:cs="Arial"/>
          <w:sz w:val="20"/>
          <w:szCs w:val="20"/>
        </w:rPr>
      </w:pPr>
    </w:p>
    <w:p w:rsidR="0094457B" w:rsidRPr="0094457B" w:rsidRDefault="0094457B" w:rsidP="0094457B">
      <w:pPr>
        <w:pStyle w:val="Heading3"/>
      </w:pPr>
      <w:bookmarkStart w:id="15" w:name="_Toc500312439"/>
      <w:r w:rsidRPr="0094457B">
        <w:rPr>
          <w:rFonts w:eastAsia="Cambria"/>
        </w:rPr>
        <w:t>Our Enablers</w:t>
      </w:r>
      <w:bookmarkEnd w:id="15"/>
    </w:p>
    <w:p w:rsidR="0094457B" w:rsidRPr="0094457B" w:rsidRDefault="0094457B" w:rsidP="0094457B">
      <w:pPr>
        <w:pStyle w:val="ListParagraph"/>
        <w:numPr>
          <w:ilvl w:val="0"/>
          <w:numId w:val="21"/>
        </w:numPr>
        <w:spacing w:before="0"/>
        <w:ind w:left="714" w:right="340" w:hanging="357"/>
        <w:jc w:val="both"/>
        <w:rPr>
          <w:rFonts w:ascii="Verdana" w:hAnsi="Verdana" w:cs="Arial"/>
          <w:sz w:val="20"/>
          <w:szCs w:val="20"/>
        </w:rPr>
      </w:pPr>
      <w:r w:rsidRPr="0094457B">
        <w:rPr>
          <w:rFonts w:ascii="Verdana" w:hAnsi="Verdana" w:cs="Arial"/>
          <w:sz w:val="20"/>
          <w:szCs w:val="20"/>
        </w:rPr>
        <w:t>Collaboration</w:t>
      </w:r>
    </w:p>
    <w:p w:rsidR="0094457B" w:rsidRPr="0094457B" w:rsidRDefault="0094457B" w:rsidP="0094457B">
      <w:pPr>
        <w:pStyle w:val="ListParagraph"/>
        <w:numPr>
          <w:ilvl w:val="0"/>
          <w:numId w:val="20"/>
        </w:numPr>
        <w:ind w:right="340"/>
        <w:jc w:val="both"/>
        <w:rPr>
          <w:rFonts w:ascii="Verdana" w:hAnsi="Verdana" w:cs="Arial"/>
          <w:sz w:val="20"/>
          <w:szCs w:val="20"/>
        </w:rPr>
      </w:pPr>
      <w:r w:rsidRPr="0094457B">
        <w:rPr>
          <w:rFonts w:ascii="Verdana" w:hAnsi="Verdana" w:cs="Arial"/>
          <w:sz w:val="20"/>
          <w:szCs w:val="20"/>
        </w:rPr>
        <w:t>Innovation</w:t>
      </w:r>
    </w:p>
    <w:p w:rsidR="0094457B" w:rsidRPr="0094457B" w:rsidRDefault="0094457B" w:rsidP="0094457B">
      <w:pPr>
        <w:pStyle w:val="ListParagraph"/>
        <w:numPr>
          <w:ilvl w:val="0"/>
          <w:numId w:val="20"/>
        </w:numPr>
        <w:ind w:right="340"/>
        <w:jc w:val="both"/>
        <w:rPr>
          <w:rFonts w:ascii="Verdana" w:hAnsi="Verdana" w:cs="Arial"/>
          <w:sz w:val="20"/>
          <w:szCs w:val="20"/>
        </w:rPr>
      </w:pPr>
      <w:r w:rsidRPr="0094457B">
        <w:rPr>
          <w:rFonts w:ascii="Verdana" w:hAnsi="Verdana" w:cs="Arial"/>
          <w:sz w:val="20"/>
          <w:szCs w:val="20"/>
        </w:rPr>
        <w:t>Education</w:t>
      </w:r>
    </w:p>
    <w:p w:rsidR="0094457B" w:rsidRPr="0094457B" w:rsidRDefault="0094457B" w:rsidP="0094457B">
      <w:pPr>
        <w:pStyle w:val="ListParagraph"/>
        <w:numPr>
          <w:ilvl w:val="0"/>
          <w:numId w:val="20"/>
        </w:numPr>
        <w:ind w:right="340"/>
        <w:jc w:val="both"/>
        <w:rPr>
          <w:rFonts w:ascii="Verdana" w:hAnsi="Verdana" w:cs="Arial"/>
          <w:sz w:val="20"/>
          <w:szCs w:val="20"/>
        </w:rPr>
      </w:pPr>
      <w:r w:rsidRPr="0094457B">
        <w:rPr>
          <w:rFonts w:ascii="Verdana" w:hAnsi="Verdana" w:cs="Arial"/>
          <w:sz w:val="20"/>
          <w:szCs w:val="20"/>
        </w:rPr>
        <w:t>Information Technology</w:t>
      </w:r>
    </w:p>
    <w:p w:rsidR="0094457B" w:rsidRPr="0094457B" w:rsidRDefault="0094457B" w:rsidP="0094457B">
      <w:pPr>
        <w:pStyle w:val="ListParagraph"/>
        <w:numPr>
          <w:ilvl w:val="0"/>
          <w:numId w:val="20"/>
        </w:numPr>
        <w:ind w:right="340"/>
        <w:jc w:val="both"/>
        <w:rPr>
          <w:rFonts w:ascii="Verdana" w:hAnsi="Verdana" w:cs="Arial"/>
          <w:sz w:val="20"/>
          <w:szCs w:val="20"/>
        </w:rPr>
      </w:pPr>
      <w:r w:rsidRPr="0094457B">
        <w:rPr>
          <w:rFonts w:ascii="Verdana" w:hAnsi="Verdana" w:cs="Arial"/>
          <w:sz w:val="20"/>
          <w:szCs w:val="20"/>
        </w:rPr>
        <w:t>Research</w:t>
      </w:r>
    </w:p>
    <w:p w:rsidR="0094457B" w:rsidRPr="0094457B" w:rsidRDefault="0094457B" w:rsidP="0094457B">
      <w:pPr>
        <w:pStyle w:val="ListParagraph"/>
        <w:numPr>
          <w:ilvl w:val="0"/>
          <w:numId w:val="20"/>
        </w:numPr>
        <w:ind w:right="340"/>
        <w:jc w:val="both"/>
        <w:rPr>
          <w:rFonts w:ascii="Verdana" w:hAnsi="Verdana" w:cs="Arial"/>
          <w:sz w:val="20"/>
        </w:rPr>
      </w:pPr>
      <w:r w:rsidRPr="0094457B">
        <w:rPr>
          <w:rFonts w:ascii="Verdana" w:hAnsi="Verdana" w:cs="Arial"/>
          <w:sz w:val="20"/>
        </w:rPr>
        <w:t>Financial Sustainability</w:t>
      </w:r>
    </w:p>
    <w:p w:rsidR="00212A2F" w:rsidRDefault="00212A2F" w:rsidP="00D24982">
      <w:pPr>
        <w:jc w:val="both"/>
        <w:rPr>
          <w:b/>
        </w:rPr>
      </w:pPr>
    </w:p>
    <w:p w:rsidR="009A0D08" w:rsidRDefault="009A0D08" w:rsidP="00D24982">
      <w:pPr>
        <w:jc w:val="both"/>
        <w:rPr>
          <w:b/>
        </w:rPr>
      </w:pPr>
    </w:p>
    <w:p w:rsidR="009A0D08" w:rsidRDefault="009A0D08" w:rsidP="00D24982">
      <w:pPr>
        <w:jc w:val="both"/>
        <w:rPr>
          <w:b/>
        </w:rPr>
      </w:pPr>
    </w:p>
    <w:p w:rsidR="0094457B" w:rsidRPr="00B14B99" w:rsidRDefault="0094457B" w:rsidP="0094457B">
      <w:pPr>
        <w:pStyle w:val="Heading3"/>
      </w:pPr>
      <w:bookmarkStart w:id="16" w:name="_Toc346092324"/>
      <w:bookmarkStart w:id="17" w:name="_Toc500312440"/>
      <w:r w:rsidRPr="00B14B99">
        <w:t>Patient and Family Centred Care</w:t>
      </w:r>
      <w:bookmarkEnd w:id="16"/>
      <w:bookmarkEnd w:id="17"/>
    </w:p>
    <w:p w:rsidR="0094457B" w:rsidRPr="00D7099A" w:rsidRDefault="0094457B" w:rsidP="0094457B">
      <w:pPr>
        <w:spacing w:after="120"/>
        <w:jc w:val="both"/>
        <w:rPr>
          <w:rFonts w:cs="Arial"/>
        </w:rPr>
      </w:pPr>
      <w:r w:rsidRPr="00D7099A">
        <w:rPr>
          <w:rFonts w:cs="Arial"/>
          <w:lang w:val="en-US"/>
        </w:rPr>
        <w:t xml:space="preserve">At the RCH delivery of health care is based on partnerships between patients, families and all those involved in care. </w:t>
      </w:r>
      <w:r w:rsidRPr="00D7099A">
        <w:rPr>
          <w:rFonts w:cs="Arial"/>
        </w:rPr>
        <w:t xml:space="preserve">The principles underpinning this are: </w:t>
      </w:r>
    </w:p>
    <w:p w:rsidR="0094457B" w:rsidRPr="00212A2F" w:rsidRDefault="0094457B" w:rsidP="003B59A9">
      <w:pPr>
        <w:pStyle w:val="Heading3"/>
      </w:pPr>
      <w:bookmarkStart w:id="18" w:name="_Toc500312441"/>
      <w:r w:rsidRPr="00212A2F">
        <w:t>Dignity and Respect</w:t>
      </w:r>
      <w:bookmarkEnd w:id="18"/>
      <w:r w:rsidRPr="00212A2F">
        <w:t xml:space="preserve">  </w:t>
      </w:r>
    </w:p>
    <w:p w:rsidR="0094457B" w:rsidRPr="00212A2F" w:rsidRDefault="0094457B" w:rsidP="003B59A9">
      <w:pPr>
        <w:pStyle w:val="ListParagraph"/>
        <w:spacing w:before="0" w:after="120"/>
        <w:ind w:left="0"/>
        <w:contextualSpacing w:val="0"/>
        <w:jc w:val="both"/>
        <w:rPr>
          <w:rFonts w:ascii="Verdana" w:hAnsi="Verdana" w:cs="Arial"/>
          <w:sz w:val="20"/>
        </w:rPr>
      </w:pPr>
      <w:r w:rsidRPr="00B14B99">
        <w:t>Health care practitioners</w:t>
      </w:r>
      <w:r w:rsidRPr="00212A2F">
        <w:rPr>
          <w:rFonts w:ascii="Verdana" w:hAnsi="Verdana" w:cs="Arial"/>
          <w:sz w:val="20"/>
        </w:rPr>
        <w:t xml:space="preserve"> listen to and honour patient and family perspectives and choices. Patient and family developmental needs, knowledge, values, beliefs, and cultural backgrounds are incorporated into the planning and </w:t>
      </w:r>
      <w:r w:rsidRPr="00B14B99">
        <w:t>delivery of care.</w:t>
      </w:r>
    </w:p>
    <w:p w:rsidR="0094457B" w:rsidRPr="00212A2F" w:rsidRDefault="0094457B" w:rsidP="003B59A9">
      <w:pPr>
        <w:pStyle w:val="Heading3"/>
      </w:pPr>
      <w:bookmarkStart w:id="19" w:name="_Toc500312442"/>
      <w:r w:rsidRPr="00212A2F">
        <w:t>Information Sharing</w:t>
      </w:r>
      <w:bookmarkEnd w:id="19"/>
    </w:p>
    <w:p w:rsidR="0094457B" w:rsidRPr="00212A2F" w:rsidRDefault="0094457B" w:rsidP="003B59A9">
      <w:pPr>
        <w:pStyle w:val="ListParagraph"/>
        <w:spacing w:before="0" w:after="120"/>
        <w:ind w:left="0"/>
        <w:contextualSpacing w:val="0"/>
        <w:jc w:val="both"/>
        <w:rPr>
          <w:rFonts w:ascii="Verdana" w:hAnsi="Verdana" w:cs="Arial"/>
          <w:sz w:val="20"/>
        </w:rPr>
      </w:pPr>
      <w:r w:rsidRPr="00212A2F">
        <w:rPr>
          <w:rFonts w:ascii="Verdana" w:hAnsi="Verdana" w:cs="Arial"/>
          <w:sz w:val="20"/>
        </w:rPr>
        <w:t xml:space="preserve">Health care practitioners communicate and share complete and unbiased information with patients and families in ways that are affirming and useful. Patients and families receive timely, complete, and accurate information in order to effectively participate in care and decision-making. </w:t>
      </w:r>
    </w:p>
    <w:p w:rsidR="0094457B" w:rsidRPr="00212A2F" w:rsidRDefault="0094457B" w:rsidP="003B59A9">
      <w:pPr>
        <w:pStyle w:val="Heading3"/>
      </w:pPr>
      <w:bookmarkStart w:id="20" w:name="_Toc500312443"/>
      <w:r w:rsidRPr="00212A2F">
        <w:t>Participation</w:t>
      </w:r>
      <w:bookmarkEnd w:id="20"/>
    </w:p>
    <w:p w:rsidR="0094457B" w:rsidRPr="00212A2F" w:rsidRDefault="0094457B" w:rsidP="003B59A9">
      <w:pPr>
        <w:pStyle w:val="ListParagraph"/>
        <w:spacing w:before="0" w:after="120"/>
        <w:ind w:left="0"/>
        <w:contextualSpacing w:val="0"/>
        <w:jc w:val="both"/>
        <w:rPr>
          <w:rFonts w:ascii="Verdana" w:hAnsi="Verdana" w:cs="Arial"/>
          <w:sz w:val="20"/>
        </w:rPr>
      </w:pPr>
      <w:r w:rsidRPr="00212A2F">
        <w:rPr>
          <w:rFonts w:ascii="Verdana" w:hAnsi="Verdana" w:cs="Arial"/>
          <w:sz w:val="20"/>
        </w:rPr>
        <w:t>Children and families are encouraged and supported in participating in care and decision-making at the level they choose.</w:t>
      </w:r>
    </w:p>
    <w:p w:rsidR="0094457B" w:rsidRPr="00212A2F" w:rsidRDefault="0094457B" w:rsidP="003B59A9">
      <w:pPr>
        <w:pStyle w:val="Heading3"/>
      </w:pPr>
      <w:bookmarkStart w:id="21" w:name="_Toc500312444"/>
      <w:r w:rsidRPr="00212A2F">
        <w:t>Collaboration</w:t>
      </w:r>
      <w:bookmarkEnd w:id="21"/>
    </w:p>
    <w:p w:rsidR="0094457B" w:rsidRPr="00212A2F" w:rsidRDefault="0094457B" w:rsidP="003B59A9">
      <w:pPr>
        <w:pStyle w:val="ListParagraph"/>
        <w:spacing w:before="0"/>
        <w:ind w:left="0"/>
        <w:jc w:val="both"/>
        <w:rPr>
          <w:rFonts w:ascii="Verdana" w:hAnsi="Verdana" w:cs="Arial"/>
          <w:sz w:val="20"/>
        </w:rPr>
      </w:pPr>
      <w:r w:rsidRPr="00212A2F">
        <w:rPr>
          <w:rFonts w:ascii="Verdana" w:hAnsi="Verdana" w:cs="Arial"/>
          <w:sz w:val="20"/>
        </w:rPr>
        <w:t>Patients, families, health care practitioners, and leaders collaborate in policy and program development, implementation, and evaluation; in health care facility design; and in professional education, as well as in the delivery of care.</w:t>
      </w:r>
    </w:p>
    <w:p w:rsidR="0094457B" w:rsidRDefault="0094457B" w:rsidP="00B14B99">
      <w:pPr>
        <w:pStyle w:val="Heading3"/>
      </w:pPr>
    </w:p>
    <w:p w:rsidR="00D24982" w:rsidRPr="00D7099A" w:rsidRDefault="00D24982" w:rsidP="00B14B99">
      <w:pPr>
        <w:pStyle w:val="Heading3"/>
      </w:pPr>
      <w:bookmarkStart w:id="22" w:name="_Toc500312445"/>
      <w:r w:rsidRPr="00D7099A">
        <w:t>Nursing Service</w:t>
      </w:r>
      <w:bookmarkEnd w:id="22"/>
    </w:p>
    <w:p w:rsidR="0094457B" w:rsidRPr="00D7099A" w:rsidRDefault="0094457B" w:rsidP="0094457B">
      <w:pPr>
        <w:jc w:val="both"/>
        <w:rPr>
          <w:rFonts w:cs="Arial"/>
          <w:lang w:val="en-US"/>
        </w:rPr>
      </w:pPr>
      <w:r w:rsidRPr="00D7099A">
        <w:rPr>
          <w:rFonts w:cs="Arial"/>
          <w:lang w:val="en-US"/>
        </w:rPr>
        <w:t xml:space="preserve">For </w:t>
      </w:r>
      <w:r w:rsidR="00102FDE">
        <w:rPr>
          <w:rFonts w:cs="Arial"/>
          <w:lang w:val="en-US"/>
        </w:rPr>
        <w:t>nearly 150</w:t>
      </w:r>
      <w:r w:rsidRPr="00D7099A">
        <w:rPr>
          <w:rFonts w:cs="Arial"/>
          <w:lang w:val="en-US"/>
        </w:rPr>
        <w:t xml:space="preserve"> years nurses have been providing leadership in p</w:t>
      </w:r>
      <w:r w:rsidR="00B43058">
        <w:rPr>
          <w:rFonts w:cs="Arial"/>
          <w:lang w:val="en-US"/>
        </w:rPr>
        <w:t xml:space="preserve">aediatric nursing at The RCH. </w:t>
      </w:r>
      <w:r w:rsidRPr="00D7099A">
        <w:rPr>
          <w:rFonts w:cs="Arial"/>
          <w:lang w:val="en-US"/>
        </w:rPr>
        <w:t xml:space="preserve"> </w:t>
      </w:r>
      <w:r w:rsidR="00B43058" w:rsidRPr="00B43058">
        <w:rPr>
          <w:rFonts w:cs="Arial"/>
          <w:lang w:val="en-US"/>
        </w:rPr>
        <w:t xml:space="preserve">We </w:t>
      </w:r>
      <w:r w:rsidR="0040620E" w:rsidRPr="00B43058">
        <w:rPr>
          <w:rFonts w:cs="Arial"/>
          <w:lang w:val="en-US"/>
        </w:rPr>
        <w:t xml:space="preserve">have </w:t>
      </w:r>
      <w:r w:rsidR="0040620E">
        <w:rPr>
          <w:rFonts w:cs="Arial"/>
          <w:lang w:val="en-US"/>
        </w:rPr>
        <w:t>1,471</w:t>
      </w:r>
      <w:r w:rsidRPr="00B43058">
        <w:rPr>
          <w:rFonts w:cs="Arial"/>
          <w:lang w:val="en-US"/>
        </w:rPr>
        <w:t xml:space="preserve"> equivalent full time nur</w:t>
      </w:r>
      <w:r w:rsidR="00B43058">
        <w:rPr>
          <w:rFonts w:cs="Arial"/>
          <w:lang w:val="en-US"/>
        </w:rPr>
        <w:t>sing employees (EFT) working across the domains of practice specifically, clinical</w:t>
      </w:r>
      <w:r w:rsidRPr="00B43058">
        <w:rPr>
          <w:rFonts w:cs="Arial"/>
          <w:lang w:val="en-US"/>
        </w:rPr>
        <w:t>, managem</w:t>
      </w:r>
      <w:r w:rsidR="00B43058">
        <w:rPr>
          <w:rFonts w:cs="Arial"/>
          <w:lang w:val="en-US"/>
        </w:rPr>
        <w:t>ent, research</w:t>
      </w:r>
      <w:r w:rsidRPr="00B43058">
        <w:rPr>
          <w:rFonts w:cs="Arial"/>
          <w:lang w:val="en-US"/>
        </w:rPr>
        <w:t xml:space="preserve"> and education. Nursing </w:t>
      </w:r>
      <w:r w:rsidRPr="00D7099A">
        <w:rPr>
          <w:rFonts w:cs="Arial"/>
          <w:lang w:val="en-US"/>
        </w:rPr>
        <w:t>practice occurs in inpatient, outpatient, ambulatory care and community settings and we welcome nurses with all levels of skills, knowledge and experience into our teams.</w:t>
      </w:r>
    </w:p>
    <w:p w:rsidR="0094457B" w:rsidRPr="00D7099A" w:rsidRDefault="0094457B" w:rsidP="0094457B">
      <w:pPr>
        <w:spacing w:after="120"/>
        <w:jc w:val="both"/>
        <w:rPr>
          <w:rFonts w:cs="Arial"/>
        </w:rPr>
      </w:pPr>
      <w:r w:rsidRPr="00D7099A">
        <w:rPr>
          <w:rFonts w:cs="Arial"/>
          <w:lang w:val="en-US"/>
        </w:rPr>
        <w:t xml:space="preserve">We are committed to competency based practice and provide nurses with a comprehensive, individualized orientation and familiarization program. </w:t>
      </w:r>
      <w:r w:rsidRPr="00D7099A">
        <w:rPr>
          <w:rFonts w:cs="Arial"/>
        </w:rPr>
        <w:t>The RCH Nursing Competency Framework provides the means through which you will be assisted to reach your potential and become an active member of your team, contributing to the ongoing development of nursing practice.</w:t>
      </w:r>
    </w:p>
    <w:p w:rsidR="0094457B" w:rsidRPr="00B14B99" w:rsidRDefault="0094457B" w:rsidP="0094457B">
      <w:pPr>
        <w:pStyle w:val="Heading3"/>
      </w:pPr>
      <w:bookmarkStart w:id="23" w:name="_Toc500312446"/>
      <w:r w:rsidRPr="00B14B99">
        <w:t>Executive Director, Nursing Services</w:t>
      </w:r>
      <w:r>
        <w:t xml:space="preserve"> &amp; Chief Nurse</w:t>
      </w:r>
      <w:bookmarkEnd w:id="23"/>
    </w:p>
    <w:p w:rsidR="0094457B" w:rsidRPr="00D7099A" w:rsidRDefault="0094457B" w:rsidP="0094457B">
      <w:pPr>
        <w:spacing w:after="120"/>
        <w:jc w:val="both"/>
        <w:rPr>
          <w:rFonts w:cs="Arial"/>
        </w:rPr>
      </w:pPr>
      <w:r w:rsidRPr="00D7099A">
        <w:rPr>
          <w:rFonts w:cs="Arial"/>
        </w:rPr>
        <w:t xml:space="preserve">The Executive Director, Nursing </w:t>
      </w:r>
      <w:r w:rsidR="00102FDE">
        <w:rPr>
          <w:rFonts w:cs="Arial"/>
        </w:rPr>
        <w:t>&amp; Allied Health Services (EDON) at the RCH is Rosemary Aisbett. The E</w:t>
      </w:r>
      <w:r w:rsidR="00B43058">
        <w:rPr>
          <w:rFonts w:cs="Arial"/>
        </w:rPr>
        <w:t>D</w:t>
      </w:r>
      <w:r w:rsidR="00102FDE">
        <w:rPr>
          <w:rFonts w:cs="Arial"/>
        </w:rPr>
        <w:t>ON</w:t>
      </w:r>
      <w:r w:rsidRPr="00D7099A">
        <w:rPr>
          <w:rFonts w:cs="Arial"/>
        </w:rPr>
        <w:t xml:space="preserve"> is responsible for the strategic planning and integration of the nursing vision and key str</w:t>
      </w:r>
      <w:r w:rsidR="00102FDE">
        <w:rPr>
          <w:rFonts w:cs="Arial"/>
        </w:rPr>
        <w:t>ategies within the service.  EDON</w:t>
      </w:r>
      <w:r w:rsidRPr="00D7099A">
        <w:rPr>
          <w:rFonts w:cs="Arial"/>
        </w:rPr>
        <w:t xml:space="preserve"> provides professional leadership of nurses to ensure professional accountability through evidence based practice, and the development of the nursing workforce to achieve our key strategies and to establish nursing at the RCH as leaders i</w:t>
      </w:r>
      <w:r w:rsidR="00102FDE">
        <w:rPr>
          <w:rFonts w:cs="Arial"/>
        </w:rPr>
        <w:t xml:space="preserve">n paediatric nursing.  The EDON </w:t>
      </w:r>
      <w:r w:rsidRPr="00D7099A">
        <w:rPr>
          <w:rFonts w:cs="Arial"/>
        </w:rPr>
        <w:t>works in partnership with all staff to ensure an efficient service in which nurses add value to the service which children and their families receive.</w:t>
      </w:r>
    </w:p>
    <w:p w:rsidR="0094457B" w:rsidRPr="00D7099A" w:rsidRDefault="0094457B" w:rsidP="0094457B">
      <w:pPr>
        <w:pStyle w:val="Heading3"/>
      </w:pPr>
      <w:bookmarkStart w:id="24" w:name="_Toc500312447"/>
      <w:r w:rsidRPr="00D7099A">
        <w:t>Professional Appearance</w:t>
      </w:r>
      <w:bookmarkEnd w:id="24"/>
    </w:p>
    <w:p w:rsidR="00102FDE" w:rsidRDefault="0094457B" w:rsidP="00102FDE">
      <w:pPr>
        <w:pStyle w:val="ListParagraph"/>
        <w:spacing w:before="0"/>
        <w:ind w:left="0"/>
        <w:jc w:val="both"/>
        <w:rPr>
          <w:rFonts w:ascii="Verdana" w:hAnsi="Verdana" w:cs="Arial"/>
          <w:sz w:val="20"/>
          <w:szCs w:val="20"/>
        </w:rPr>
      </w:pPr>
      <w:r w:rsidRPr="00D7099A">
        <w:rPr>
          <w:rFonts w:ascii="Verdana" w:hAnsi="Verdana" w:cs="Arial"/>
          <w:sz w:val="20"/>
          <w:szCs w:val="20"/>
        </w:rPr>
        <w:t xml:space="preserve">It is an expectation that staff working at the RCH present an image of a professional workforce whether they are in RCH uniform or personal work wear clothing. For more information please refer to the Dress Code Procedure. Scrubs are available for purchase from the RCH Auxiliaries. There are a range of colours, sizes and lengths to choose from. Visit the RCH Auxiliaries website for more information. A blue </w:t>
      </w:r>
      <w:r w:rsidRPr="00D7099A">
        <w:rPr>
          <w:rFonts w:ascii="Verdana" w:hAnsi="Verdana" w:cs="Arial"/>
          <w:sz w:val="20"/>
          <w:szCs w:val="20"/>
          <w:u w:val="single"/>
        </w:rPr>
        <w:t>RCH Nursing Team</w:t>
      </w:r>
      <w:r w:rsidRPr="00D7099A">
        <w:rPr>
          <w:rFonts w:ascii="Verdana" w:hAnsi="Verdana" w:cs="Arial"/>
          <w:sz w:val="20"/>
          <w:szCs w:val="20"/>
        </w:rPr>
        <w:t xml:space="preserve"> lanyard with an identification badge must be worn at all times. </w:t>
      </w:r>
      <w:r w:rsidR="00102FDE" w:rsidRPr="00D7099A">
        <w:rPr>
          <w:rFonts w:ascii="Verdana" w:hAnsi="Verdana" w:cs="Arial"/>
          <w:sz w:val="20"/>
          <w:szCs w:val="20"/>
        </w:rPr>
        <w:t>The only exception to this is nurses who are permanently employed to work in Paediatric Intensive Care Unit (PICU) or Emergency Department. These nurses wear either a green PICU Team lanyard or red Emergency Department lanyard.</w:t>
      </w:r>
    </w:p>
    <w:p w:rsidR="00102FDE" w:rsidRPr="00D7099A" w:rsidRDefault="00102FDE" w:rsidP="00102FDE">
      <w:pPr>
        <w:pStyle w:val="ListParagraph"/>
        <w:spacing w:before="0"/>
        <w:ind w:left="0"/>
        <w:jc w:val="both"/>
        <w:rPr>
          <w:rFonts w:ascii="Verdana" w:hAnsi="Verdana" w:cs="Arial"/>
          <w:sz w:val="20"/>
          <w:szCs w:val="20"/>
        </w:rPr>
      </w:pPr>
      <w:r w:rsidRPr="00D7099A">
        <w:rPr>
          <w:rFonts w:ascii="Verdana" w:hAnsi="Verdana" w:cs="Arial"/>
          <w:sz w:val="20"/>
          <w:szCs w:val="20"/>
        </w:rPr>
        <w:t xml:space="preserve"> </w:t>
      </w:r>
    </w:p>
    <w:p w:rsidR="00102FDE" w:rsidRPr="00102FDE" w:rsidRDefault="00102FDE" w:rsidP="0094457B">
      <w:pPr>
        <w:pStyle w:val="ListParagraph"/>
        <w:spacing w:before="0"/>
        <w:ind w:left="0"/>
        <w:jc w:val="both"/>
        <w:rPr>
          <w:rFonts w:ascii="Verdana" w:hAnsi="Verdana" w:cs="Arial"/>
          <w:color w:val="006621"/>
          <w:sz w:val="21"/>
          <w:szCs w:val="21"/>
          <w:shd w:val="clear" w:color="auto" w:fill="FFFFFF"/>
        </w:rPr>
      </w:pPr>
      <w:r>
        <w:rPr>
          <w:rFonts w:ascii="Verdana" w:hAnsi="Verdana" w:cs="Arial"/>
          <w:sz w:val="20"/>
          <w:szCs w:val="20"/>
        </w:rPr>
        <w:t>In late 2017, magnetic name badges were introduced into clinical areas (exception areas where magnets are not permitted) as a part of the “Hello, my name is………” campaign (</w:t>
      </w:r>
      <w:hyperlink r:id="rId12" w:history="1">
        <w:r w:rsidRPr="00A8122D">
          <w:rPr>
            <w:rStyle w:val="Hyperlink"/>
            <w:rFonts w:ascii="Arial" w:hAnsi="Arial" w:cs="Arial"/>
            <w:sz w:val="21"/>
            <w:szCs w:val="21"/>
            <w:shd w:val="clear" w:color="auto" w:fill="FFFFFF"/>
          </w:rPr>
          <w:t>https://hellomynameis.org.uk/</w:t>
        </w:r>
      </w:hyperlink>
      <w:r>
        <w:rPr>
          <w:rFonts w:ascii="Arial" w:hAnsi="Arial" w:cs="Arial"/>
          <w:color w:val="006621"/>
          <w:sz w:val="21"/>
          <w:szCs w:val="21"/>
          <w:shd w:val="clear" w:color="auto" w:fill="FFFFFF"/>
        </w:rPr>
        <w:t xml:space="preserve">) </w:t>
      </w:r>
      <w:r w:rsidRPr="00102FDE">
        <w:rPr>
          <w:rFonts w:ascii="Verdana" w:hAnsi="Verdana" w:cs="Arial"/>
          <w:sz w:val="21"/>
          <w:szCs w:val="21"/>
          <w:shd w:val="clear" w:color="auto" w:fill="FFFFFF"/>
        </w:rPr>
        <w:t>to enable patients and families to be able to read and recognize the name and role of the clinician involved in their care.</w:t>
      </w:r>
      <w:r w:rsidRPr="00102FDE">
        <w:rPr>
          <w:rFonts w:ascii="Arial" w:hAnsi="Arial" w:cs="Arial"/>
          <w:sz w:val="21"/>
          <w:szCs w:val="21"/>
          <w:shd w:val="clear" w:color="auto" w:fill="FFFFFF"/>
        </w:rPr>
        <w:t xml:space="preserve"> </w:t>
      </w:r>
      <w:r>
        <w:rPr>
          <w:rFonts w:ascii="Arial" w:hAnsi="Arial" w:cs="Arial"/>
          <w:sz w:val="21"/>
          <w:szCs w:val="21"/>
          <w:shd w:val="clear" w:color="auto" w:fill="FFFFFF"/>
        </w:rPr>
        <w:t xml:space="preserve"> </w:t>
      </w:r>
      <w:r w:rsidRPr="00102FDE">
        <w:rPr>
          <w:rFonts w:ascii="Verdana" w:hAnsi="Verdana" w:cs="Arial"/>
          <w:sz w:val="21"/>
          <w:szCs w:val="21"/>
          <w:shd w:val="clear" w:color="auto" w:fill="FFFFFF"/>
        </w:rPr>
        <w:t xml:space="preserve">Staff who speak language other than English may also have a flag symbol on their </w:t>
      </w:r>
      <w:r>
        <w:rPr>
          <w:rFonts w:ascii="Verdana" w:hAnsi="Verdana" w:cs="Arial"/>
          <w:sz w:val="21"/>
          <w:szCs w:val="21"/>
          <w:shd w:val="clear" w:color="auto" w:fill="FFFFFF"/>
        </w:rPr>
        <w:t>badge, symbolizing the language they speak.</w:t>
      </w:r>
    </w:p>
    <w:p w:rsidR="00102FDE" w:rsidRDefault="00102FDE" w:rsidP="0094457B">
      <w:pPr>
        <w:pStyle w:val="ListParagraph"/>
        <w:spacing w:before="0"/>
        <w:ind w:left="0"/>
        <w:jc w:val="both"/>
        <w:rPr>
          <w:rFonts w:ascii="Arial" w:hAnsi="Arial" w:cs="Arial"/>
          <w:color w:val="006621"/>
          <w:sz w:val="21"/>
          <w:szCs w:val="21"/>
          <w:shd w:val="clear" w:color="auto" w:fill="FFFFFF"/>
        </w:rPr>
      </w:pPr>
    </w:p>
    <w:p w:rsidR="00D24982" w:rsidRPr="00B14B99" w:rsidRDefault="00D24982" w:rsidP="00B14B99">
      <w:pPr>
        <w:pStyle w:val="Heading2"/>
      </w:pPr>
      <w:r w:rsidRPr="00D7099A">
        <w:rPr>
          <w:sz w:val="20"/>
          <w:szCs w:val="20"/>
          <w:lang w:val="en-US"/>
        </w:rPr>
        <w:br w:type="page"/>
      </w:r>
      <w:bookmarkStart w:id="25" w:name="_Toc346092325"/>
      <w:bookmarkStart w:id="26" w:name="_Toc500312448"/>
      <w:r w:rsidRPr="00B14B99">
        <w:t>RCH Nursing Competency Framework</w:t>
      </w:r>
      <w:bookmarkEnd w:id="25"/>
      <w:bookmarkEnd w:id="26"/>
    </w:p>
    <w:p w:rsidR="00D24982" w:rsidRPr="00D7099A" w:rsidRDefault="00D24982" w:rsidP="00212A2F">
      <w:pPr>
        <w:jc w:val="both"/>
        <w:rPr>
          <w:rFonts w:cs="Arial"/>
          <w:lang w:val="en-US"/>
        </w:rPr>
      </w:pPr>
      <w:r w:rsidRPr="00D7099A">
        <w:rPr>
          <w:rFonts w:cs="Arial"/>
          <w:lang w:val="en-US"/>
        </w:rPr>
        <w:t xml:space="preserve">The RCH Nursing Competency Framework supports the domains of practice and competency standards for nurses identified by the </w:t>
      </w:r>
      <w:r w:rsidR="00B43058">
        <w:rPr>
          <w:rFonts w:cs="Arial"/>
          <w:lang w:val="en-US"/>
        </w:rPr>
        <w:t>Nursing &amp; Midwifery Board of Australia (NMBA) The NMBA</w:t>
      </w:r>
      <w:r w:rsidR="00B43058" w:rsidRPr="00D7099A">
        <w:rPr>
          <w:rFonts w:cs="Arial"/>
          <w:lang w:val="en-US"/>
        </w:rPr>
        <w:t xml:space="preserve"> standards</w:t>
      </w:r>
      <w:r w:rsidRPr="00D7099A">
        <w:rPr>
          <w:rFonts w:cs="Arial"/>
          <w:lang w:val="en-US"/>
        </w:rPr>
        <w:t xml:space="preserve"> </w:t>
      </w:r>
      <w:r w:rsidR="00B43058">
        <w:rPr>
          <w:rFonts w:cs="Arial"/>
          <w:lang w:val="en-US"/>
        </w:rPr>
        <w:t xml:space="preserve">for practice </w:t>
      </w:r>
      <w:r w:rsidRPr="00D7099A">
        <w:rPr>
          <w:rFonts w:cs="Arial"/>
          <w:lang w:val="en-US"/>
        </w:rPr>
        <w:t>are the core competency standards by which nurses’ performance is assessed to obtain and retain a licen</w:t>
      </w:r>
      <w:r w:rsidR="00B43058">
        <w:rPr>
          <w:rFonts w:cs="Arial"/>
          <w:lang w:val="en-US"/>
        </w:rPr>
        <w:t>se to practice in Victoria (NMBA</w:t>
      </w:r>
      <w:r w:rsidRPr="00D7099A">
        <w:rPr>
          <w:rFonts w:cs="Arial"/>
          <w:lang w:val="en-US"/>
        </w:rPr>
        <w:t xml:space="preserve">, </w:t>
      </w:r>
      <w:r w:rsidR="00B43058">
        <w:rPr>
          <w:rFonts w:cs="Arial"/>
          <w:lang w:val="en-US"/>
        </w:rPr>
        <w:t>June 2016</w:t>
      </w:r>
      <w:r w:rsidRPr="00D7099A">
        <w:rPr>
          <w:rFonts w:cs="Arial"/>
          <w:lang w:val="en-US"/>
        </w:rPr>
        <w:t xml:space="preserve">). </w:t>
      </w:r>
      <w:r w:rsidRPr="00D7099A">
        <w:rPr>
          <w:rFonts w:cs="Arial"/>
        </w:rPr>
        <w:t>Key components of the RCH Nursing Competency Framework include:</w:t>
      </w:r>
    </w:p>
    <w:p w:rsidR="00D24982" w:rsidRPr="00B14B99" w:rsidRDefault="00D24982" w:rsidP="003B59A9">
      <w:pPr>
        <w:pStyle w:val="Heading3"/>
      </w:pPr>
      <w:bookmarkStart w:id="27" w:name="_Toc500312449"/>
      <w:r w:rsidRPr="00B14B99">
        <w:t>Familiarisation</w:t>
      </w:r>
      <w:bookmarkEnd w:id="27"/>
    </w:p>
    <w:p w:rsidR="00D24982" w:rsidRPr="00A65E43" w:rsidRDefault="00D24982" w:rsidP="003B59A9">
      <w:pPr>
        <w:numPr>
          <w:ilvl w:val="0"/>
          <w:numId w:val="2"/>
        </w:numPr>
        <w:ind w:left="714" w:hanging="357"/>
        <w:jc w:val="both"/>
        <w:rPr>
          <w:rFonts w:cs="Arial"/>
          <w:sz w:val="19"/>
          <w:szCs w:val="19"/>
        </w:rPr>
      </w:pPr>
      <w:r w:rsidRPr="00A65E43">
        <w:rPr>
          <w:rFonts w:cs="Arial"/>
          <w:sz w:val="19"/>
          <w:szCs w:val="19"/>
        </w:rPr>
        <w:t>You will undertake a ten week familiarisation period, individualised with respect to your previous nursing experience. During familiarisation you will be provided with support and guidance to demonstrate the necessary capability to deliver safe care.  Goal setting using the Professional Development &amp; Achievement Plan (PDAP) will be completed by the end of the 10 week period.</w:t>
      </w:r>
    </w:p>
    <w:p w:rsidR="00D24982" w:rsidRPr="00A65E43" w:rsidRDefault="00D24982" w:rsidP="003B59A9">
      <w:pPr>
        <w:numPr>
          <w:ilvl w:val="0"/>
          <w:numId w:val="2"/>
        </w:numPr>
        <w:ind w:left="714" w:hanging="357"/>
        <w:jc w:val="both"/>
        <w:rPr>
          <w:rFonts w:cs="Arial"/>
          <w:sz w:val="19"/>
          <w:szCs w:val="19"/>
        </w:rPr>
      </w:pPr>
      <w:r w:rsidRPr="00A65E43">
        <w:rPr>
          <w:rFonts w:cs="Arial"/>
          <w:sz w:val="19"/>
          <w:szCs w:val="19"/>
        </w:rPr>
        <w:t>Due to the conditions of employment, familiarisation varies for Nursing and Administration Workforce staff.</w:t>
      </w:r>
    </w:p>
    <w:p w:rsidR="00D24982" w:rsidRPr="00B14B99" w:rsidRDefault="00D24982" w:rsidP="003B59A9">
      <w:pPr>
        <w:pStyle w:val="Heading3"/>
      </w:pPr>
      <w:bookmarkStart w:id="28" w:name="_Toc500312450"/>
      <w:r w:rsidRPr="00B14B99">
        <w:t>Supernumerary Time</w:t>
      </w:r>
      <w:bookmarkEnd w:id="28"/>
    </w:p>
    <w:p w:rsidR="00D24982" w:rsidRPr="00A65E43" w:rsidRDefault="00D24982" w:rsidP="003B59A9">
      <w:pPr>
        <w:numPr>
          <w:ilvl w:val="0"/>
          <w:numId w:val="2"/>
        </w:numPr>
        <w:autoSpaceDE w:val="0"/>
        <w:autoSpaceDN w:val="0"/>
        <w:adjustRightInd w:val="0"/>
        <w:spacing w:after="120"/>
        <w:ind w:left="714" w:hanging="357"/>
        <w:jc w:val="both"/>
        <w:rPr>
          <w:rFonts w:cs="Arial"/>
          <w:sz w:val="19"/>
          <w:szCs w:val="19"/>
          <w:lang w:val="en-US"/>
        </w:rPr>
      </w:pPr>
      <w:r w:rsidRPr="00A65E43">
        <w:rPr>
          <w:rFonts w:cs="Arial"/>
          <w:sz w:val="19"/>
          <w:szCs w:val="19"/>
          <w:lang w:val="en-US"/>
        </w:rPr>
        <w:t xml:space="preserve">Supernumerary time allows for workload sharing with your preceptor and time away from direct patient care for orientation and additional learning. Supernumerary time is allocated by your Nurse Unit Manager (NUM)/Manager during the ten week </w:t>
      </w:r>
      <w:r w:rsidR="0040620E">
        <w:rPr>
          <w:rFonts w:cs="Arial"/>
          <w:sz w:val="19"/>
          <w:szCs w:val="19"/>
          <w:lang w:val="en-US"/>
        </w:rPr>
        <w:t>familiariz</w:t>
      </w:r>
      <w:r w:rsidR="0040620E" w:rsidRPr="00A65E43">
        <w:rPr>
          <w:rFonts w:cs="Arial"/>
          <w:sz w:val="19"/>
          <w:szCs w:val="19"/>
          <w:lang w:val="en-US"/>
        </w:rPr>
        <w:t>ation</w:t>
      </w:r>
      <w:r w:rsidRPr="00A65E43">
        <w:rPr>
          <w:rFonts w:cs="Arial"/>
          <w:sz w:val="19"/>
          <w:szCs w:val="19"/>
          <w:lang w:val="en-US"/>
        </w:rPr>
        <w:t xml:space="preserve"> period a</w:t>
      </w:r>
      <w:r w:rsidR="00B43058">
        <w:rPr>
          <w:rFonts w:cs="Arial"/>
          <w:sz w:val="19"/>
          <w:szCs w:val="19"/>
          <w:lang w:val="en-US"/>
        </w:rPr>
        <w:t xml:space="preserve">nd will vary for each nurse based on clinical area &amp; individual needs. </w:t>
      </w:r>
    </w:p>
    <w:p w:rsidR="00D24982" w:rsidRPr="00B14B99" w:rsidRDefault="00D24982" w:rsidP="003B59A9">
      <w:pPr>
        <w:pStyle w:val="Heading3"/>
        <w:spacing w:before="120"/>
      </w:pPr>
      <w:bookmarkStart w:id="29" w:name="_Toc500312451"/>
      <w:r w:rsidRPr="00B14B99">
        <w:t>Preceptorship</w:t>
      </w:r>
      <w:bookmarkEnd w:id="29"/>
    </w:p>
    <w:p w:rsidR="00D24982" w:rsidRPr="00A65E43" w:rsidRDefault="00D24982" w:rsidP="003B59A9">
      <w:pPr>
        <w:numPr>
          <w:ilvl w:val="0"/>
          <w:numId w:val="3"/>
        </w:numPr>
        <w:ind w:left="697" w:hanging="357"/>
        <w:jc w:val="both"/>
        <w:rPr>
          <w:rFonts w:cs="Arial"/>
          <w:sz w:val="19"/>
          <w:szCs w:val="19"/>
          <w:lang w:val="en-US"/>
        </w:rPr>
      </w:pPr>
      <w:r w:rsidRPr="00A65E43">
        <w:rPr>
          <w:rFonts w:cs="Arial"/>
          <w:sz w:val="19"/>
          <w:szCs w:val="19"/>
          <w:lang w:val="en-US"/>
        </w:rPr>
        <w:t xml:space="preserve">You will be formally assigned a preceptor to assist with your transition to your new practice setting. Your preceptor will serve as an educator and role model and assist your </w:t>
      </w:r>
      <w:r w:rsidR="0040620E" w:rsidRPr="00A65E43">
        <w:rPr>
          <w:rFonts w:cs="Arial"/>
          <w:sz w:val="19"/>
          <w:szCs w:val="19"/>
          <w:lang w:val="en-US"/>
        </w:rPr>
        <w:t>socialization</w:t>
      </w:r>
      <w:r w:rsidRPr="00A65E43">
        <w:rPr>
          <w:rFonts w:cs="Arial"/>
          <w:sz w:val="19"/>
          <w:szCs w:val="19"/>
          <w:lang w:val="en-US"/>
        </w:rPr>
        <w:t xml:space="preserve"> into the team. More comprehensive information regarding the RCH Nursing Preceptorship Model is available on the Nursing Education website. </w:t>
      </w:r>
    </w:p>
    <w:p w:rsidR="00B14B99" w:rsidRDefault="00D24982" w:rsidP="003B59A9">
      <w:pPr>
        <w:numPr>
          <w:ilvl w:val="0"/>
          <w:numId w:val="3"/>
        </w:numPr>
        <w:ind w:left="697" w:hanging="357"/>
        <w:jc w:val="both"/>
        <w:rPr>
          <w:rFonts w:cs="Arial"/>
          <w:sz w:val="19"/>
          <w:szCs w:val="19"/>
          <w:lang w:val="en-US"/>
        </w:rPr>
      </w:pPr>
      <w:r w:rsidRPr="00A65E43">
        <w:rPr>
          <w:rFonts w:cs="Arial"/>
          <w:sz w:val="19"/>
          <w:szCs w:val="19"/>
          <w:lang w:val="en-US"/>
        </w:rPr>
        <w:t>Due to the conditions of employment Nursing and</w:t>
      </w:r>
      <w:r w:rsidR="009A0D08" w:rsidRPr="00A65E43">
        <w:rPr>
          <w:rFonts w:cs="Arial"/>
          <w:sz w:val="19"/>
          <w:szCs w:val="19"/>
          <w:lang w:val="en-US"/>
        </w:rPr>
        <w:t xml:space="preserve"> Administration Workforce staff </w:t>
      </w:r>
      <w:r w:rsidRPr="00A65E43">
        <w:rPr>
          <w:rFonts w:cs="Arial"/>
          <w:sz w:val="19"/>
          <w:szCs w:val="19"/>
          <w:lang w:val="en-US"/>
        </w:rPr>
        <w:t>are not formally assigned a preceptor. These nurses will be allocated a buddy to work with on each shift.</w:t>
      </w:r>
    </w:p>
    <w:p w:rsidR="00A65E43" w:rsidRPr="00A65E43" w:rsidRDefault="00A65E43" w:rsidP="00A65E43">
      <w:pPr>
        <w:ind w:right="340"/>
        <w:jc w:val="both"/>
        <w:rPr>
          <w:rFonts w:cs="Arial"/>
          <w:sz w:val="19"/>
          <w:szCs w:val="19"/>
          <w:lang w:val="en-US"/>
        </w:rPr>
      </w:pPr>
    </w:p>
    <w:p w:rsidR="00D24982" w:rsidRPr="00245527" w:rsidRDefault="00D24982" w:rsidP="00B14B99">
      <w:pPr>
        <w:pStyle w:val="Heading2"/>
      </w:pPr>
      <w:bookmarkStart w:id="30" w:name="_Toc500312452"/>
      <w:r w:rsidRPr="00245527">
        <w:t>Demonstration of Competence</w:t>
      </w:r>
      <w:bookmarkEnd w:id="30"/>
    </w:p>
    <w:p w:rsidR="00D24982" w:rsidRPr="00D7099A" w:rsidRDefault="00D24982" w:rsidP="009A0D08">
      <w:pPr>
        <w:autoSpaceDE w:val="0"/>
        <w:autoSpaceDN w:val="0"/>
        <w:adjustRightInd w:val="0"/>
        <w:spacing w:after="120"/>
        <w:jc w:val="both"/>
        <w:rPr>
          <w:rFonts w:cs="Arial"/>
          <w:lang w:val="en-US"/>
        </w:rPr>
      </w:pPr>
      <w:r w:rsidRPr="00D7099A">
        <w:rPr>
          <w:rFonts w:cs="Arial"/>
          <w:lang w:val="en-US"/>
        </w:rPr>
        <w:t>As the name implies, a core component of the RCH Nursing Competency Framework is to assist nurses in the attainment and demonstration of competence. The essential characteristics of a competent nurse are identified in Table 2</w:t>
      </w:r>
      <w:r w:rsidR="00B43058">
        <w:rPr>
          <w:rFonts w:cs="Arial"/>
          <w:lang w:val="en-US"/>
        </w:rPr>
        <w:t>(</w:t>
      </w:r>
      <w:r w:rsidR="00B43058">
        <w:rPr>
          <w:rFonts w:cs="Arial"/>
        </w:rPr>
        <w:t>Benner, P., 1984</w:t>
      </w:r>
      <w:r w:rsidR="00B43058">
        <w:rPr>
          <w:rFonts w:cs="Arial"/>
          <w:lang w:val="en-US"/>
        </w:rPr>
        <w:t xml:space="preserve"> ; Lima, S., 2014; Walker, D.L.K., 2007)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3548"/>
        <w:gridCol w:w="3546"/>
      </w:tblGrid>
      <w:tr w:rsidR="009A0D08" w:rsidRPr="009A0D08" w:rsidTr="00B14B99">
        <w:tc>
          <w:tcPr>
            <w:tcW w:w="1667" w:type="pct"/>
            <w:shd w:val="clear" w:color="auto" w:fill="D9D9D9"/>
            <w:tcMar>
              <w:top w:w="28" w:type="dxa"/>
              <w:bottom w:w="28" w:type="dxa"/>
            </w:tcMar>
            <w:vAlign w:val="center"/>
          </w:tcPr>
          <w:p w:rsidR="009A0D08" w:rsidRPr="009A0D08" w:rsidRDefault="009A0D08" w:rsidP="009A0D08">
            <w:pPr>
              <w:rPr>
                <w:rFonts w:cs="Arial"/>
                <w:b/>
              </w:rPr>
            </w:pPr>
            <w:r w:rsidRPr="009A0D08">
              <w:rPr>
                <w:rFonts w:cs="Arial"/>
                <w:b/>
                <w:sz w:val="56"/>
                <w:szCs w:val="56"/>
              </w:rPr>
              <w:t xml:space="preserve">K   </w:t>
            </w:r>
            <w:r w:rsidRPr="00B14B99">
              <w:rPr>
                <w:rFonts w:cs="Arial"/>
                <w:b/>
                <w:sz w:val="19"/>
                <w:szCs w:val="19"/>
              </w:rPr>
              <w:t>Knowledge</w:t>
            </w:r>
          </w:p>
        </w:tc>
        <w:tc>
          <w:tcPr>
            <w:tcW w:w="1667" w:type="pct"/>
            <w:shd w:val="clear" w:color="auto" w:fill="D9D9D9"/>
            <w:tcMar>
              <w:top w:w="28" w:type="dxa"/>
              <w:bottom w:w="28" w:type="dxa"/>
            </w:tcMar>
            <w:vAlign w:val="center"/>
          </w:tcPr>
          <w:p w:rsidR="009A0D08" w:rsidRPr="009A0D08" w:rsidRDefault="009A0D08" w:rsidP="009A0D08">
            <w:pPr>
              <w:rPr>
                <w:rFonts w:cs="Arial"/>
                <w:b/>
              </w:rPr>
            </w:pPr>
            <w:r w:rsidRPr="009A0D08">
              <w:rPr>
                <w:rFonts w:cs="Arial"/>
                <w:b/>
                <w:sz w:val="56"/>
                <w:szCs w:val="56"/>
              </w:rPr>
              <w:t xml:space="preserve">S   </w:t>
            </w:r>
            <w:r w:rsidRPr="00B14B99">
              <w:rPr>
                <w:rFonts w:cs="Arial"/>
                <w:b/>
                <w:sz w:val="19"/>
                <w:szCs w:val="19"/>
              </w:rPr>
              <w:t>Skills</w:t>
            </w:r>
          </w:p>
        </w:tc>
        <w:tc>
          <w:tcPr>
            <w:tcW w:w="1666" w:type="pct"/>
            <w:shd w:val="clear" w:color="auto" w:fill="D9D9D9"/>
            <w:tcMar>
              <w:top w:w="28" w:type="dxa"/>
              <w:bottom w:w="28" w:type="dxa"/>
            </w:tcMar>
            <w:vAlign w:val="center"/>
          </w:tcPr>
          <w:p w:rsidR="009A0D08" w:rsidRPr="009A0D08" w:rsidRDefault="009A0D08" w:rsidP="009A0D08">
            <w:pPr>
              <w:rPr>
                <w:rFonts w:cs="Arial"/>
                <w:b/>
              </w:rPr>
            </w:pPr>
            <w:r w:rsidRPr="009A0D08">
              <w:rPr>
                <w:rFonts w:cs="Arial"/>
                <w:b/>
                <w:sz w:val="56"/>
                <w:szCs w:val="56"/>
              </w:rPr>
              <w:t xml:space="preserve">A  </w:t>
            </w:r>
            <w:r w:rsidRPr="009A0D08">
              <w:rPr>
                <w:rFonts w:cs="Arial"/>
                <w:b/>
              </w:rPr>
              <w:t xml:space="preserve"> </w:t>
            </w:r>
            <w:r w:rsidRPr="00B14B99">
              <w:rPr>
                <w:rFonts w:cs="Arial"/>
                <w:b/>
                <w:sz w:val="19"/>
                <w:szCs w:val="19"/>
              </w:rPr>
              <w:t>Attributes / Attitudes</w:t>
            </w:r>
          </w:p>
        </w:tc>
      </w:tr>
      <w:tr w:rsidR="009A0D08" w:rsidRPr="009A0D08" w:rsidTr="00B14B99">
        <w:tc>
          <w:tcPr>
            <w:tcW w:w="1667" w:type="pct"/>
            <w:tcMar>
              <w:top w:w="28" w:type="dxa"/>
              <w:bottom w:w="28" w:type="dxa"/>
            </w:tcMar>
            <w:vAlign w:val="center"/>
          </w:tcPr>
          <w:p w:rsidR="00B43058" w:rsidRPr="00B43058" w:rsidRDefault="00B43058" w:rsidP="00B43058">
            <w:pPr>
              <w:rPr>
                <w:rFonts w:cs="Arial"/>
                <w:sz w:val="19"/>
                <w:szCs w:val="19"/>
              </w:rPr>
            </w:pPr>
            <w:r w:rsidRPr="00B43058">
              <w:rPr>
                <w:rFonts w:cs="Arial"/>
                <w:sz w:val="19"/>
                <w:szCs w:val="19"/>
              </w:rPr>
              <w:t>Organisational</w:t>
            </w:r>
          </w:p>
          <w:p w:rsidR="00B43058" w:rsidRPr="00B43058" w:rsidRDefault="00B43058" w:rsidP="00B43058">
            <w:pPr>
              <w:rPr>
                <w:rFonts w:cs="Arial"/>
                <w:sz w:val="19"/>
                <w:szCs w:val="19"/>
              </w:rPr>
            </w:pPr>
            <w:r w:rsidRPr="00B43058">
              <w:rPr>
                <w:rFonts w:cs="Arial"/>
                <w:sz w:val="19"/>
                <w:szCs w:val="19"/>
              </w:rPr>
              <w:t>Basic</w:t>
            </w:r>
          </w:p>
          <w:p w:rsidR="009A0D08" w:rsidRPr="00B14B99" w:rsidRDefault="00B43058" w:rsidP="00B43058">
            <w:pPr>
              <w:rPr>
                <w:rFonts w:cs="Arial"/>
                <w:sz w:val="19"/>
                <w:szCs w:val="19"/>
              </w:rPr>
            </w:pPr>
            <w:r w:rsidRPr="00B43058">
              <w:rPr>
                <w:rFonts w:cs="Arial"/>
                <w:sz w:val="19"/>
                <w:szCs w:val="19"/>
              </w:rPr>
              <w:t>Specialized</w:t>
            </w:r>
          </w:p>
        </w:tc>
        <w:tc>
          <w:tcPr>
            <w:tcW w:w="1667" w:type="pct"/>
            <w:tcMar>
              <w:top w:w="28" w:type="dxa"/>
              <w:bottom w:w="28" w:type="dxa"/>
            </w:tcMar>
            <w:vAlign w:val="center"/>
          </w:tcPr>
          <w:p w:rsidR="00B43058" w:rsidRPr="00B43058" w:rsidRDefault="00B43058" w:rsidP="00B43058">
            <w:pPr>
              <w:rPr>
                <w:rFonts w:cs="Arial"/>
                <w:sz w:val="19"/>
                <w:szCs w:val="19"/>
              </w:rPr>
            </w:pPr>
            <w:r>
              <w:rPr>
                <w:rFonts w:cs="Arial"/>
                <w:sz w:val="19"/>
                <w:szCs w:val="19"/>
              </w:rPr>
              <w:t>A</w:t>
            </w:r>
            <w:r w:rsidRPr="00B43058">
              <w:rPr>
                <w:rFonts w:cs="Arial"/>
                <w:sz w:val="19"/>
                <w:szCs w:val="19"/>
              </w:rPr>
              <w:t>ssessment</w:t>
            </w:r>
          </w:p>
          <w:p w:rsidR="00B43058" w:rsidRPr="00B43058" w:rsidRDefault="00B43058" w:rsidP="00B43058">
            <w:pPr>
              <w:rPr>
                <w:rFonts w:cs="Arial"/>
                <w:sz w:val="19"/>
                <w:szCs w:val="19"/>
              </w:rPr>
            </w:pPr>
            <w:r w:rsidRPr="00B43058">
              <w:rPr>
                <w:rFonts w:cs="Arial"/>
                <w:sz w:val="19"/>
                <w:szCs w:val="19"/>
              </w:rPr>
              <w:t>Communication</w:t>
            </w:r>
          </w:p>
          <w:p w:rsidR="00B43058" w:rsidRPr="00B43058" w:rsidRDefault="00B43058" w:rsidP="00B43058">
            <w:pPr>
              <w:rPr>
                <w:rFonts w:cs="Arial"/>
                <w:sz w:val="19"/>
                <w:szCs w:val="19"/>
              </w:rPr>
            </w:pPr>
            <w:r w:rsidRPr="00B43058">
              <w:rPr>
                <w:rFonts w:cs="Arial"/>
                <w:sz w:val="19"/>
                <w:szCs w:val="19"/>
              </w:rPr>
              <w:t>Critical thinking</w:t>
            </w:r>
          </w:p>
          <w:p w:rsidR="00B43058" w:rsidRPr="00B43058" w:rsidRDefault="00B43058" w:rsidP="00B43058">
            <w:pPr>
              <w:rPr>
                <w:rFonts w:cs="Arial"/>
                <w:sz w:val="19"/>
                <w:szCs w:val="19"/>
              </w:rPr>
            </w:pPr>
            <w:r w:rsidRPr="00B43058">
              <w:rPr>
                <w:rFonts w:cs="Arial"/>
                <w:sz w:val="19"/>
                <w:szCs w:val="19"/>
              </w:rPr>
              <w:t>Customer Service</w:t>
            </w:r>
          </w:p>
          <w:p w:rsidR="00B43058" w:rsidRPr="00B43058" w:rsidRDefault="00B43058" w:rsidP="00B43058">
            <w:pPr>
              <w:rPr>
                <w:rFonts w:cs="Arial"/>
                <w:sz w:val="19"/>
                <w:szCs w:val="19"/>
              </w:rPr>
            </w:pPr>
            <w:r w:rsidRPr="00B43058">
              <w:rPr>
                <w:rFonts w:cs="Arial"/>
                <w:sz w:val="19"/>
                <w:szCs w:val="19"/>
              </w:rPr>
              <w:t>Problem solving</w:t>
            </w:r>
          </w:p>
          <w:p w:rsidR="00B43058" w:rsidRPr="00B43058" w:rsidRDefault="00B43058" w:rsidP="00B43058">
            <w:pPr>
              <w:rPr>
                <w:rFonts w:cs="Arial"/>
                <w:sz w:val="19"/>
                <w:szCs w:val="19"/>
              </w:rPr>
            </w:pPr>
            <w:r w:rsidRPr="00B43058">
              <w:rPr>
                <w:rFonts w:cs="Arial"/>
                <w:sz w:val="19"/>
                <w:szCs w:val="19"/>
              </w:rPr>
              <w:t>Psychomotor</w:t>
            </w:r>
          </w:p>
          <w:p w:rsidR="00B43058" w:rsidRPr="00B43058" w:rsidRDefault="00B43058" w:rsidP="00B43058">
            <w:pPr>
              <w:rPr>
                <w:rFonts w:cs="Arial"/>
                <w:sz w:val="19"/>
                <w:szCs w:val="19"/>
              </w:rPr>
            </w:pPr>
            <w:r w:rsidRPr="00B43058">
              <w:rPr>
                <w:rFonts w:cs="Arial"/>
                <w:sz w:val="19"/>
                <w:szCs w:val="19"/>
              </w:rPr>
              <w:t>Technical Skills</w:t>
            </w:r>
          </w:p>
          <w:p w:rsidR="00B43058" w:rsidRPr="00B43058" w:rsidRDefault="00B43058" w:rsidP="00B43058">
            <w:pPr>
              <w:rPr>
                <w:rFonts w:cs="Arial"/>
                <w:sz w:val="19"/>
                <w:szCs w:val="19"/>
              </w:rPr>
            </w:pPr>
            <w:r w:rsidRPr="00B43058">
              <w:rPr>
                <w:rFonts w:cs="Arial"/>
                <w:sz w:val="19"/>
                <w:szCs w:val="19"/>
              </w:rPr>
              <w:t>Teaching</w:t>
            </w:r>
          </w:p>
          <w:p w:rsidR="00B43058" w:rsidRPr="00B43058" w:rsidRDefault="00B43058" w:rsidP="00B43058">
            <w:pPr>
              <w:rPr>
                <w:rFonts w:cs="Arial"/>
                <w:sz w:val="19"/>
                <w:szCs w:val="19"/>
              </w:rPr>
            </w:pPr>
            <w:r w:rsidRPr="00B43058">
              <w:rPr>
                <w:rFonts w:cs="Arial"/>
                <w:sz w:val="19"/>
                <w:szCs w:val="19"/>
              </w:rPr>
              <w:t>Teamwork</w:t>
            </w:r>
          </w:p>
          <w:p w:rsidR="00B43058" w:rsidRPr="00B43058" w:rsidRDefault="00B43058" w:rsidP="00B43058">
            <w:pPr>
              <w:rPr>
                <w:rFonts w:cs="Arial"/>
                <w:sz w:val="19"/>
                <w:szCs w:val="19"/>
              </w:rPr>
            </w:pPr>
            <w:r w:rsidRPr="00B43058">
              <w:rPr>
                <w:rFonts w:cs="Arial"/>
                <w:sz w:val="19"/>
                <w:szCs w:val="19"/>
              </w:rPr>
              <w:t>Time management</w:t>
            </w:r>
          </w:p>
          <w:p w:rsidR="009A0D08" w:rsidRPr="00B14B99" w:rsidRDefault="009A0D08" w:rsidP="009A0D08">
            <w:pPr>
              <w:rPr>
                <w:rFonts w:cs="Arial"/>
                <w:sz w:val="19"/>
                <w:szCs w:val="19"/>
              </w:rPr>
            </w:pPr>
          </w:p>
        </w:tc>
        <w:tc>
          <w:tcPr>
            <w:tcW w:w="1666" w:type="pct"/>
            <w:tcMar>
              <w:top w:w="28" w:type="dxa"/>
              <w:bottom w:w="28" w:type="dxa"/>
            </w:tcMar>
            <w:vAlign w:val="center"/>
          </w:tcPr>
          <w:p w:rsidR="00B43058" w:rsidRPr="00B43058" w:rsidRDefault="00B43058" w:rsidP="00B43058">
            <w:pPr>
              <w:rPr>
                <w:rFonts w:cs="Arial"/>
                <w:sz w:val="19"/>
                <w:szCs w:val="19"/>
              </w:rPr>
            </w:pPr>
            <w:r w:rsidRPr="00B43058">
              <w:rPr>
                <w:rFonts w:cs="Arial"/>
                <w:sz w:val="19"/>
                <w:szCs w:val="19"/>
              </w:rPr>
              <w:t>Caring</w:t>
            </w:r>
          </w:p>
          <w:p w:rsidR="00B43058" w:rsidRPr="00B43058" w:rsidRDefault="00B43058" w:rsidP="00B43058">
            <w:pPr>
              <w:rPr>
                <w:rFonts w:cs="Arial"/>
                <w:sz w:val="19"/>
                <w:szCs w:val="19"/>
              </w:rPr>
            </w:pPr>
            <w:r w:rsidRPr="00B43058">
              <w:rPr>
                <w:rFonts w:cs="Arial"/>
                <w:sz w:val="19"/>
                <w:szCs w:val="19"/>
              </w:rPr>
              <w:t>Character</w:t>
            </w:r>
          </w:p>
          <w:p w:rsidR="00B43058" w:rsidRPr="00B43058" w:rsidRDefault="00B43058" w:rsidP="00B43058">
            <w:pPr>
              <w:rPr>
                <w:rFonts w:cs="Arial"/>
                <w:sz w:val="19"/>
                <w:szCs w:val="19"/>
              </w:rPr>
            </w:pPr>
            <w:r w:rsidRPr="00B43058">
              <w:rPr>
                <w:rFonts w:cs="Arial"/>
                <w:sz w:val="19"/>
                <w:szCs w:val="19"/>
              </w:rPr>
              <w:t>Confident</w:t>
            </w:r>
          </w:p>
          <w:p w:rsidR="00B43058" w:rsidRPr="00B43058" w:rsidRDefault="00B43058" w:rsidP="00B43058">
            <w:pPr>
              <w:rPr>
                <w:rFonts w:cs="Arial"/>
                <w:sz w:val="19"/>
                <w:szCs w:val="19"/>
              </w:rPr>
            </w:pPr>
            <w:r w:rsidRPr="00B43058">
              <w:rPr>
                <w:rFonts w:cs="Arial"/>
                <w:sz w:val="19"/>
                <w:szCs w:val="19"/>
              </w:rPr>
              <w:t>Critical thinking</w:t>
            </w:r>
          </w:p>
          <w:p w:rsidR="00B43058" w:rsidRPr="00B43058" w:rsidRDefault="00B43058" w:rsidP="00B43058">
            <w:pPr>
              <w:rPr>
                <w:rFonts w:cs="Arial"/>
                <w:sz w:val="19"/>
                <w:szCs w:val="19"/>
              </w:rPr>
            </w:pPr>
            <w:r w:rsidRPr="00B43058">
              <w:rPr>
                <w:rFonts w:cs="Arial"/>
                <w:sz w:val="19"/>
                <w:szCs w:val="19"/>
              </w:rPr>
              <w:t>Curious</w:t>
            </w:r>
          </w:p>
          <w:p w:rsidR="00B43058" w:rsidRPr="00B43058" w:rsidRDefault="00B43058" w:rsidP="00B43058">
            <w:pPr>
              <w:rPr>
                <w:rFonts w:cs="Arial"/>
                <w:sz w:val="19"/>
                <w:szCs w:val="19"/>
              </w:rPr>
            </w:pPr>
            <w:r w:rsidRPr="00B43058">
              <w:rPr>
                <w:rFonts w:cs="Arial"/>
                <w:sz w:val="19"/>
                <w:szCs w:val="19"/>
              </w:rPr>
              <w:t>Insightful</w:t>
            </w:r>
          </w:p>
          <w:p w:rsidR="00B43058" w:rsidRPr="00B43058" w:rsidRDefault="00B43058" w:rsidP="00B43058">
            <w:pPr>
              <w:rPr>
                <w:rFonts w:cs="Arial"/>
                <w:sz w:val="19"/>
                <w:szCs w:val="19"/>
              </w:rPr>
            </w:pPr>
            <w:r w:rsidRPr="00B43058">
              <w:rPr>
                <w:rFonts w:cs="Arial"/>
                <w:sz w:val="19"/>
                <w:szCs w:val="19"/>
              </w:rPr>
              <w:t>Motivated</w:t>
            </w:r>
          </w:p>
          <w:p w:rsidR="00B43058" w:rsidRPr="00B43058" w:rsidRDefault="00B43058" w:rsidP="00B43058">
            <w:pPr>
              <w:rPr>
                <w:rFonts w:cs="Arial"/>
                <w:sz w:val="19"/>
                <w:szCs w:val="19"/>
              </w:rPr>
            </w:pPr>
            <w:r w:rsidRPr="00B43058">
              <w:rPr>
                <w:rFonts w:cs="Arial"/>
                <w:sz w:val="19"/>
                <w:szCs w:val="19"/>
              </w:rPr>
              <w:t>Non-judgemental</w:t>
            </w:r>
          </w:p>
          <w:p w:rsidR="00B43058" w:rsidRPr="00B43058" w:rsidRDefault="00B43058" w:rsidP="00B43058">
            <w:pPr>
              <w:rPr>
                <w:rFonts w:cs="Arial"/>
                <w:sz w:val="19"/>
                <w:szCs w:val="19"/>
              </w:rPr>
            </w:pPr>
            <w:r w:rsidRPr="00B43058">
              <w:rPr>
                <w:rFonts w:cs="Arial"/>
                <w:sz w:val="19"/>
                <w:szCs w:val="19"/>
              </w:rPr>
              <w:t>Professional (presentation)</w:t>
            </w:r>
          </w:p>
          <w:p w:rsidR="00B43058" w:rsidRPr="00B43058" w:rsidRDefault="00B43058" w:rsidP="00B43058">
            <w:pPr>
              <w:rPr>
                <w:rFonts w:cs="Arial"/>
                <w:sz w:val="19"/>
                <w:szCs w:val="19"/>
              </w:rPr>
            </w:pPr>
            <w:r w:rsidRPr="00B43058">
              <w:rPr>
                <w:rFonts w:cs="Arial"/>
                <w:sz w:val="19"/>
                <w:szCs w:val="19"/>
              </w:rPr>
              <w:t>Reflection</w:t>
            </w:r>
          </w:p>
          <w:p w:rsidR="009A0D08" w:rsidRPr="00B14B99" w:rsidRDefault="009A0D08" w:rsidP="009A0D08">
            <w:pPr>
              <w:rPr>
                <w:rFonts w:cs="Arial"/>
                <w:sz w:val="19"/>
                <w:szCs w:val="19"/>
              </w:rPr>
            </w:pPr>
          </w:p>
        </w:tc>
      </w:tr>
    </w:tbl>
    <w:p w:rsidR="00D24982" w:rsidRPr="009A0D08" w:rsidRDefault="00D24982" w:rsidP="00A65E43">
      <w:pPr>
        <w:autoSpaceDE w:val="0"/>
        <w:autoSpaceDN w:val="0"/>
        <w:adjustRightInd w:val="0"/>
        <w:spacing w:before="60" w:after="120"/>
        <w:rPr>
          <w:rFonts w:cs="Arial"/>
          <w:b/>
          <w:bCs/>
          <w:i/>
          <w:sz w:val="16"/>
          <w:szCs w:val="16"/>
          <w:lang w:val="en-US"/>
        </w:rPr>
      </w:pPr>
      <w:r w:rsidRPr="009A0D08">
        <w:rPr>
          <w:rFonts w:cs="Arial"/>
          <w:b/>
          <w:bCs/>
          <w:i/>
          <w:sz w:val="16"/>
          <w:szCs w:val="16"/>
          <w:lang w:val="en-US"/>
        </w:rPr>
        <w:t>Table 2: Competent Nurse Characteristics</w:t>
      </w:r>
    </w:p>
    <w:p w:rsidR="00D24982" w:rsidRPr="00245527" w:rsidRDefault="00D24982" w:rsidP="00B14B99">
      <w:pPr>
        <w:spacing w:after="120"/>
        <w:jc w:val="both"/>
        <w:rPr>
          <w:rFonts w:cs="Arial"/>
          <w:lang w:val="en-US"/>
        </w:rPr>
      </w:pPr>
      <w:r w:rsidRPr="00D7099A">
        <w:rPr>
          <w:rFonts w:cs="Arial"/>
          <w:lang w:val="en-US"/>
        </w:rPr>
        <w:t xml:space="preserve">A range of strategies may be employed to determine and demonstrate competence with regards to knowledge, skills and the </w:t>
      </w:r>
      <w:r w:rsidR="00533091" w:rsidRPr="00D7099A">
        <w:rPr>
          <w:rFonts w:cs="Arial"/>
          <w:lang w:val="en-US"/>
        </w:rPr>
        <w:t xml:space="preserve">attributes/attitudes </w:t>
      </w:r>
      <w:r w:rsidRPr="00D7099A">
        <w:rPr>
          <w:rFonts w:cs="Arial"/>
          <w:lang w:val="en-US"/>
        </w:rPr>
        <w:t>of nursing. Within the RCH Nursing Competency Framework these strategies i</w:t>
      </w:r>
      <w:r w:rsidR="009A0D08">
        <w:rPr>
          <w:rFonts w:cs="Arial"/>
          <w:lang w:val="en-US"/>
        </w:rPr>
        <w:t>nclude:</w:t>
      </w:r>
    </w:p>
    <w:p w:rsidR="00D24982" w:rsidRPr="00245527" w:rsidRDefault="00191D7B" w:rsidP="00B14B99">
      <w:pPr>
        <w:pStyle w:val="Heading3"/>
      </w:pPr>
      <w:bookmarkStart w:id="31" w:name="_Toc500312453"/>
      <w:r w:rsidRPr="00245527">
        <w:t>Self-Assessment</w:t>
      </w:r>
      <w:bookmarkEnd w:id="31"/>
    </w:p>
    <w:p w:rsidR="00D24982" w:rsidRPr="00245527" w:rsidRDefault="00191D7B" w:rsidP="00B14B99">
      <w:pPr>
        <w:spacing w:after="120"/>
        <w:jc w:val="both"/>
        <w:rPr>
          <w:rFonts w:cs="Arial"/>
        </w:rPr>
      </w:pPr>
      <w:r w:rsidRPr="00245527">
        <w:rPr>
          <w:rFonts w:cs="Arial"/>
        </w:rPr>
        <w:t>Self-assessment</w:t>
      </w:r>
      <w:r w:rsidR="00D24982" w:rsidRPr="00245527">
        <w:rPr>
          <w:rFonts w:cs="Arial"/>
        </w:rPr>
        <w:t xml:space="preserve"> has traditionally played a large part in determining competence for nurses in Australia. Opportunities for documenting reflection and </w:t>
      </w:r>
      <w:r w:rsidRPr="00245527">
        <w:rPr>
          <w:rFonts w:cs="Arial"/>
        </w:rPr>
        <w:t>self-assessment</w:t>
      </w:r>
      <w:r w:rsidR="00D24982" w:rsidRPr="00245527">
        <w:rPr>
          <w:rFonts w:cs="Arial"/>
        </w:rPr>
        <w:t xml:space="preserve"> are built in to the RCH Nursing Competency Framework in the Feedback and Reflections form associated with each Nursing Competency Assessment Form and in the PDAP. You might also use your PPP for capturing </w:t>
      </w:r>
      <w:r w:rsidRPr="00245527">
        <w:rPr>
          <w:rFonts w:cs="Arial"/>
        </w:rPr>
        <w:t>self-assessment</w:t>
      </w:r>
      <w:r w:rsidR="00D24982" w:rsidRPr="00245527">
        <w:rPr>
          <w:rFonts w:cs="Arial"/>
        </w:rPr>
        <w:t>.</w:t>
      </w:r>
    </w:p>
    <w:p w:rsidR="00D24982" w:rsidRPr="00245527" w:rsidRDefault="00D24982" w:rsidP="00B14B99">
      <w:pPr>
        <w:pStyle w:val="Heading3"/>
        <w:rPr>
          <w:lang w:val="en-US"/>
        </w:rPr>
      </w:pPr>
      <w:bookmarkStart w:id="32" w:name="_Toc500312454"/>
      <w:r w:rsidRPr="00245527">
        <w:rPr>
          <w:lang w:val="en-US"/>
        </w:rPr>
        <w:t>Observations of Practice</w:t>
      </w:r>
      <w:bookmarkEnd w:id="32"/>
    </w:p>
    <w:p w:rsidR="00D24982" w:rsidRDefault="00D24982" w:rsidP="00B14B99">
      <w:pPr>
        <w:pStyle w:val="default0"/>
        <w:spacing w:after="120"/>
        <w:jc w:val="both"/>
        <w:rPr>
          <w:rFonts w:ascii="Verdana" w:hAnsi="Verdana"/>
          <w:color w:val="auto"/>
          <w:szCs w:val="20"/>
        </w:rPr>
      </w:pPr>
      <w:r w:rsidRPr="00245527">
        <w:rPr>
          <w:rFonts w:ascii="Verdana" w:hAnsi="Verdana"/>
          <w:color w:val="auto"/>
          <w:szCs w:val="20"/>
        </w:rPr>
        <w:t xml:space="preserve">Observation provides an opportunity for demonstration and assessment of practice. Many of the Nursing Competency Assessment Forms developed for the RCH Nursing Competency Framework include having practice evaluated through observation. </w:t>
      </w:r>
    </w:p>
    <w:p w:rsidR="003B59A9" w:rsidRPr="00245527" w:rsidRDefault="003B59A9" w:rsidP="00B14B99">
      <w:pPr>
        <w:pStyle w:val="default0"/>
        <w:spacing w:after="120"/>
        <w:jc w:val="both"/>
        <w:rPr>
          <w:rFonts w:ascii="Verdana" w:hAnsi="Verdana"/>
          <w:color w:val="auto"/>
          <w:szCs w:val="20"/>
        </w:rPr>
      </w:pPr>
    </w:p>
    <w:p w:rsidR="00D24982" w:rsidRPr="00245527" w:rsidRDefault="00D24982" w:rsidP="00B14B99">
      <w:pPr>
        <w:pStyle w:val="Heading3"/>
        <w:rPr>
          <w:lang w:val="en-US"/>
        </w:rPr>
      </w:pPr>
      <w:bookmarkStart w:id="33" w:name="_Toc500312455"/>
      <w:r w:rsidRPr="00245527">
        <w:rPr>
          <w:lang w:val="en-US"/>
        </w:rPr>
        <w:t>Discussion / Questioning / Interviewing</w:t>
      </w:r>
      <w:bookmarkEnd w:id="33"/>
    </w:p>
    <w:p w:rsidR="00D24982" w:rsidRPr="00245527" w:rsidRDefault="00D24982" w:rsidP="00B14B99">
      <w:pPr>
        <w:pStyle w:val="Default"/>
        <w:spacing w:after="120"/>
        <w:jc w:val="both"/>
        <w:rPr>
          <w:rFonts w:ascii="Verdana" w:hAnsi="Verdana"/>
          <w:color w:val="auto"/>
          <w:sz w:val="20"/>
          <w:szCs w:val="20"/>
        </w:rPr>
      </w:pPr>
      <w:r w:rsidRPr="00245527">
        <w:rPr>
          <w:rFonts w:ascii="Verdana" w:hAnsi="Verdana"/>
          <w:color w:val="auto"/>
          <w:sz w:val="20"/>
          <w:szCs w:val="20"/>
        </w:rPr>
        <w:t xml:space="preserve">In completing the Nursing Competency Assessment Forms, the dating and signing of some competency elements by your assessor will provide evidence of conversations you have had in which you have demonstrated your competence. Your PPP and Performance Development and Assessment Program (PDAP) document also provide opportunity for you to capture evidence of discussions in which you have demonstrated your competence. </w:t>
      </w:r>
    </w:p>
    <w:p w:rsidR="00D24982" w:rsidRPr="00245527" w:rsidRDefault="00D24982" w:rsidP="00B14B99">
      <w:pPr>
        <w:pStyle w:val="Heading3"/>
        <w:rPr>
          <w:lang w:val="en-US"/>
        </w:rPr>
      </w:pPr>
      <w:bookmarkStart w:id="34" w:name="_Toc500312456"/>
      <w:r w:rsidRPr="00245527">
        <w:rPr>
          <w:lang w:val="en-US"/>
        </w:rPr>
        <w:t>Learning Packages / Quizzes</w:t>
      </w:r>
      <w:bookmarkEnd w:id="34"/>
    </w:p>
    <w:p w:rsidR="00D24982" w:rsidRPr="00245527" w:rsidRDefault="00D24982" w:rsidP="00B14B99">
      <w:pPr>
        <w:pStyle w:val="Default"/>
        <w:spacing w:after="120"/>
        <w:jc w:val="both"/>
        <w:rPr>
          <w:rFonts w:ascii="Verdana" w:hAnsi="Verdana"/>
          <w:color w:val="auto"/>
          <w:sz w:val="20"/>
          <w:szCs w:val="20"/>
        </w:rPr>
      </w:pPr>
      <w:r w:rsidRPr="00245527">
        <w:rPr>
          <w:rFonts w:ascii="Verdana" w:hAnsi="Verdana"/>
          <w:color w:val="auto"/>
          <w:sz w:val="20"/>
          <w:szCs w:val="20"/>
        </w:rPr>
        <w:t>There are many packages available to assist in your learning</w:t>
      </w:r>
      <w:r w:rsidRPr="00D7099A">
        <w:rPr>
          <w:rFonts w:ascii="Verdana" w:hAnsi="Verdana"/>
          <w:color w:val="auto"/>
          <w:sz w:val="20"/>
          <w:szCs w:val="20"/>
        </w:rPr>
        <w:t xml:space="preserve"> and demonstration of competence. Examples of these include Emergency Procedures, Medication Administration, and Central Venous Access Devices. Your preceptor, Clinical Nurse Educator/Facilitator (CNE/F) and/or NUM/Manager will be able to direct you to the location of learning packages. The RCH Nursing Competency </w:t>
      </w:r>
      <w:r w:rsidR="00402BBA">
        <w:rPr>
          <w:rFonts w:ascii="Verdana" w:hAnsi="Verdana"/>
          <w:color w:val="auto"/>
          <w:sz w:val="20"/>
          <w:szCs w:val="20"/>
        </w:rPr>
        <w:t>Workbook</w:t>
      </w:r>
      <w:r w:rsidRPr="00D7099A">
        <w:rPr>
          <w:rFonts w:ascii="Verdana" w:hAnsi="Verdana"/>
          <w:color w:val="auto"/>
          <w:sz w:val="20"/>
          <w:szCs w:val="20"/>
        </w:rPr>
        <w:t xml:space="preserve">, </w:t>
      </w:r>
      <w:r w:rsidR="00402BBA">
        <w:rPr>
          <w:rFonts w:ascii="Verdana" w:hAnsi="Verdana"/>
          <w:color w:val="auto"/>
          <w:sz w:val="20"/>
          <w:szCs w:val="20"/>
        </w:rPr>
        <w:t xml:space="preserve">LearningHero </w:t>
      </w:r>
      <w:r w:rsidRPr="00402BBA">
        <w:rPr>
          <w:rFonts w:ascii="Verdana" w:hAnsi="Verdana"/>
          <w:color w:val="auto"/>
          <w:sz w:val="20"/>
          <w:szCs w:val="20"/>
        </w:rPr>
        <w:t>and your professional practice portfolio (PPP) are examples of where you might document satisfactory completion of learning packages.</w:t>
      </w:r>
      <w:r w:rsidRPr="00D7099A">
        <w:rPr>
          <w:rFonts w:ascii="Verdana" w:hAnsi="Verdana"/>
          <w:color w:val="auto"/>
          <w:sz w:val="20"/>
          <w:szCs w:val="20"/>
        </w:rPr>
        <w:t xml:space="preserve"> </w:t>
      </w:r>
    </w:p>
    <w:p w:rsidR="00D24982" w:rsidRPr="00245527" w:rsidRDefault="00D24982" w:rsidP="00B14B99">
      <w:pPr>
        <w:pStyle w:val="Heading3"/>
        <w:rPr>
          <w:lang w:val="en-US"/>
        </w:rPr>
      </w:pPr>
      <w:bookmarkStart w:id="35" w:name="_Toc500312457"/>
      <w:r w:rsidRPr="00245527">
        <w:rPr>
          <w:lang w:val="en-US"/>
        </w:rPr>
        <w:t>Professional Practice Portfolio (PPP)</w:t>
      </w:r>
      <w:bookmarkEnd w:id="35"/>
    </w:p>
    <w:p w:rsidR="00EB4883" w:rsidRPr="00245527" w:rsidRDefault="00EB4883" w:rsidP="00EB4883">
      <w:pPr>
        <w:spacing w:after="120"/>
        <w:jc w:val="both"/>
        <w:rPr>
          <w:rFonts w:cs="Arial"/>
        </w:rPr>
      </w:pPr>
      <w:r w:rsidRPr="00245527">
        <w:rPr>
          <w:rFonts w:cs="Arial"/>
        </w:rPr>
        <w:t xml:space="preserve">The PPP is a tool that enables you to communicate to yourself and others your learning plans, achievements, professional development, performance capability and competency based on collated evidence. </w:t>
      </w:r>
      <w:r>
        <w:rPr>
          <w:rFonts w:cs="Arial"/>
        </w:rPr>
        <w:t xml:space="preserve">Presentation of a PPP is part of the credentials process for RCH nurses and your Nurse Unit Manager/Manager will ask to view your PPP on an annual basis and others for role advancements and interviews.  </w:t>
      </w:r>
      <w:r w:rsidRPr="00245527">
        <w:rPr>
          <w:rFonts w:cs="Arial"/>
        </w:rPr>
        <w:t xml:space="preserve">If you don’t yet have a PPP an example of a template is available on the Nursing Education website. </w:t>
      </w:r>
    </w:p>
    <w:p w:rsidR="00EB4883" w:rsidRPr="00245527" w:rsidRDefault="00EB4883" w:rsidP="00EB4883">
      <w:pPr>
        <w:pStyle w:val="Heading3"/>
        <w:rPr>
          <w:rFonts w:cs="Arial"/>
        </w:rPr>
      </w:pPr>
      <w:bookmarkStart w:id="36" w:name="_Toc500312458"/>
      <w:r w:rsidRPr="00245527">
        <w:t>Continuing Professional Development</w:t>
      </w:r>
      <w:bookmarkEnd w:id="36"/>
      <w:r w:rsidRPr="00245527">
        <w:t xml:space="preserve"> </w:t>
      </w:r>
    </w:p>
    <w:p w:rsidR="00EB4883" w:rsidRPr="00245527" w:rsidRDefault="00EB4883" w:rsidP="00EB4883">
      <w:pPr>
        <w:autoSpaceDE w:val="0"/>
        <w:autoSpaceDN w:val="0"/>
        <w:adjustRightInd w:val="0"/>
        <w:jc w:val="both"/>
        <w:rPr>
          <w:rFonts w:cs="Arial"/>
          <w:lang w:val="en-US"/>
        </w:rPr>
      </w:pPr>
      <w:r w:rsidRPr="00245527">
        <w:rPr>
          <w:rFonts w:cs="Arial"/>
        </w:rPr>
        <w:t xml:space="preserve">Participation in continuing professional development (CPD) is a widely accepted method for measuring and demonstrating ongoing nursing competence. It is a requirement of the Nursing and Midwifery Board of Australia that nurses participate in at least 20 hours of CPD each year and that </w:t>
      </w:r>
      <w:r w:rsidRPr="00245527">
        <w:rPr>
          <w:rFonts w:cs="Arial"/>
          <w:lang w:val="en-US"/>
        </w:rPr>
        <w:t>documentation of participation will include dates, a brief description of the outcomes, and the number of hours for each activity. In addition all evidence of CPD should be verified. A form for capturing your CPD is available o</w:t>
      </w:r>
      <w:r w:rsidR="00402BBA">
        <w:rPr>
          <w:rFonts w:cs="Arial"/>
          <w:lang w:val="en-US"/>
        </w:rPr>
        <w:t>n the Nursing Education website or via NMBA.</w:t>
      </w:r>
    </w:p>
    <w:p w:rsidR="0026194B" w:rsidRPr="00245527" w:rsidRDefault="00EB4883" w:rsidP="00EB4883">
      <w:pPr>
        <w:pStyle w:val="BodyText2"/>
        <w:tabs>
          <w:tab w:val="left" w:pos="360"/>
        </w:tabs>
        <w:spacing w:line="240" w:lineRule="auto"/>
        <w:jc w:val="both"/>
        <w:rPr>
          <w:rFonts w:cs="Arial"/>
          <w:szCs w:val="20"/>
        </w:rPr>
      </w:pPr>
      <w:r w:rsidRPr="00245527">
        <w:rPr>
          <w:rFonts w:cs="Arial"/>
          <w:szCs w:val="20"/>
        </w:rPr>
        <w:t>The RCH provides a wide variety of ongoing educational opportunities for nurses including in-service education, study days, workshops, seminars and short courses. Most education is coordinated through Nursing Education and Research. A calendar of all education opportunities is accessible on the Nursing Education website.</w:t>
      </w:r>
      <w:r>
        <w:rPr>
          <w:rFonts w:cs="Arial"/>
          <w:szCs w:val="20"/>
        </w:rPr>
        <w:t xml:space="preserve"> </w:t>
      </w:r>
      <w:r w:rsidRPr="00245527">
        <w:rPr>
          <w:rFonts w:cs="Arial"/>
          <w:szCs w:val="20"/>
        </w:rPr>
        <w:t xml:space="preserve">It is your responsibility that any days that you wish to attend are requested on the roster. It is important that you are aware of your professional development leave entitlements as covered by the Nurses </w:t>
      </w:r>
      <w:r w:rsidR="00402BBA">
        <w:rPr>
          <w:rFonts w:cs="Arial"/>
          <w:szCs w:val="20"/>
        </w:rPr>
        <w:t xml:space="preserve">and Midwives </w:t>
      </w:r>
      <w:r w:rsidRPr="00245527">
        <w:rPr>
          <w:rFonts w:cs="Arial"/>
          <w:szCs w:val="20"/>
        </w:rPr>
        <w:t xml:space="preserve">(Victorian Public Health Sector) </w:t>
      </w:r>
      <w:r w:rsidR="00402BBA" w:rsidRPr="00402BBA">
        <w:rPr>
          <w:rFonts w:cs="Arial"/>
          <w:szCs w:val="20"/>
        </w:rPr>
        <w:t xml:space="preserve">Enterprise </w:t>
      </w:r>
      <w:r w:rsidRPr="00402BBA">
        <w:rPr>
          <w:rFonts w:cs="Arial"/>
          <w:szCs w:val="20"/>
        </w:rPr>
        <w:t xml:space="preserve">Agreement </w:t>
      </w:r>
      <w:r w:rsidR="00402BBA" w:rsidRPr="00402BBA">
        <w:rPr>
          <w:rFonts w:cs="Arial"/>
          <w:szCs w:val="20"/>
        </w:rPr>
        <w:t>2016-2020</w:t>
      </w:r>
      <w:r w:rsidR="00402BBA">
        <w:rPr>
          <w:rFonts w:cs="Arial"/>
          <w:szCs w:val="20"/>
        </w:rPr>
        <w:t>, as entitlements</w:t>
      </w:r>
      <w:r w:rsidRPr="00402BBA">
        <w:rPr>
          <w:rFonts w:cs="Arial"/>
          <w:szCs w:val="20"/>
        </w:rPr>
        <w:t xml:space="preserve"> will be allocated in accordance with the provisions. Pleas</w:t>
      </w:r>
      <w:r w:rsidR="00402BBA">
        <w:rPr>
          <w:rFonts w:cs="Arial"/>
          <w:szCs w:val="20"/>
        </w:rPr>
        <w:t>e discuss with your NUM/Manager.</w:t>
      </w:r>
    </w:p>
    <w:p w:rsidR="0026194B" w:rsidRPr="00245527" w:rsidRDefault="0026194B" w:rsidP="00B14B99">
      <w:pPr>
        <w:pStyle w:val="Heading3"/>
      </w:pPr>
      <w:bookmarkStart w:id="37" w:name="_Toc500312459"/>
      <w:r w:rsidRPr="00245527">
        <w:t>Performance and Development Assessment Program (PDAP)</w:t>
      </w:r>
      <w:bookmarkEnd w:id="37"/>
    </w:p>
    <w:p w:rsidR="0026194B" w:rsidRPr="00245527" w:rsidRDefault="0026194B" w:rsidP="00245527">
      <w:pPr>
        <w:jc w:val="both"/>
        <w:rPr>
          <w:rFonts w:cs="Arial"/>
        </w:rPr>
      </w:pPr>
      <w:r w:rsidRPr="00245527">
        <w:rPr>
          <w:rFonts w:cs="Arial"/>
        </w:rPr>
        <w:t xml:space="preserve">The PDAP is a continuous process for permanent staff conducted over a 12 month period, which reflects on past performance and focuses on future outcomes. The PDAP is based on two principles </w:t>
      </w:r>
    </w:p>
    <w:p w:rsidR="0026194B" w:rsidRPr="00245527" w:rsidRDefault="0026194B" w:rsidP="00245527">
      <w:pPr>
        <w:numPr>
          <w:ilvl w:val="0"/>
          <w:numId w:val="4"/>
        </w:numPr>
        <w:jc w:val="both"/>
        <w:rPr>
          <w:rFonts w:cs="Arial"/>
        </w:rPr>
      </w:pPr>
      <w:r w:rsidRPr="00245527">
        <w:rPr>
          <w:rFonts w:cs="Arial"/>
        </w:rPr>
        <w:t xml:space="preserve">What we do (KPI’s) AND how we do it (Values and Behaviours) </w:t>
      </w:r>
    </w:p>
    <w:p w:rsidR="0026194B" w:rsidRPr="00245527" w:rsidRDefault="0026194B" w:rsidP="00245527">
      <w:pPr>
        <w:numPr>
          <w:ilvl w:val="0"/>
          <w:numId w:val="4"/>
        </w:numPr>
        <w:jc w:val="both"/>
        <w:rPr>
          <w:rFonts w:cs="Arial"/>
        </w:rPr>
      </w:pPr>
      <w:r w:rsidRPr="00245527">
        <w:rPr>
          <w:rFonts w:cs="Arial"/>
        </w:rPr>
        <w:t>Managers/supervisors and their staff:</w:t>
      </w:r>
    </w:p>
    <w:p w:rsidR="0026194B" w:rsidRPr="00245527" w:rsidRDefault="0026194B" w:rsidP="00245527">
      <w:pPr>
        <w:numPr>
          <w:ilvl w:val="0"/>
          <w:numId w:val="16"/>
        </w:numPr>
        <w:tabs>
          <w:tab w:val="num" w:pos="1800"/>
        </w:tabs>
        <w:jc w:val="both"/>
        <w:rPr>
          <w:rFonts w:cs="Arial"/>
        </w:rPr>
      </w:pPr>
      <w:r w:rsidRPr="00245527">
        <w:rPr>
          <w:rFonts w:cs="Arial"/>
        </w:rPr>
        <w:t xml:space="preserve">Working together to achieve desired outcomes </w:t>
      </w:r>
    </w:p>
    <w:p w:rsidR="0026194B" w:rsidRPr="00245527" w:rsidRDefault="0026194B" w:rsidP="00245527">
      <w:pPr>
        <w:numPr>
          <w:ilvl w:val="0"/>
          <w:numId w:val="16"/>
        </w:numPr>
        <w:tabs>
          <w:tab w:val="num" w:pos="1800"/>
        </w:tabs>
        <w:jc w:val="both"/>
        <w:rPr>
          <w:rFonts w:cs="Arial"/>
        </w:rPr>
      </w:pPr>
      <w:r w:rsidRPr="00245527">
        <w:rPr>
          <w:rFonts w:cs="Arial"/>
        </w:rPr>
        <w:t xml:space="preserve">Communicating openly </w:t>
      </w:r>
    </w:p>
    <w:p w:rsidR="0026194B" w:rsidRPr="00245527" w:rsidRDefault="0026194B" w:rsidP="00245527">
      <w:pPr>
        <w:numPr>
          <w:ilvl w:val="0"/>
          <w:numId w:val="16"/>
        </w:numPr>
        <w:tabs>
          <w:tab w:val="num" w:pos="1800"/>
        </w:tabs>
        <w:jc w:val="both"/>
        <w:rPr>
          <w:rFonts w:cs="Arial"/>
        </w:rPr>
      </w:pPr>
      <w:r w:rsidRPr="00245527">
        <w:rPr>
          <w:rFonts w:cs="Arial"/>
        </w:rPr>
        <w:t xml:space="preserve">Providing regular feedback to each other and </w:t>
      </w:r>
    </w:p>
    <w:p w:rsidR="00A65E43" w:rsidRDefault="0026194B" w:rsidP="00A65E43">
      <w:pPr>
        <w:numPr>
          <w:ilvl w:val="0"/>
          <w:numId w:val="16"/>
        </w:numPr>
        <w:tabs>
          <w:tab w:val="num" w:pos="1800"/>
        </w:tabs>
        <w:ind w:left="1077" w:hanging="357"/>
        <w:jc w:val="both"/>
        <w:rPr>
          <w:rFonts w:cs="Arial"/>
        </w:rPr>
      </w:pPr>
      <w:r w:rsidRPr="00245527">
        <w:rPr>
          <w:rFonts w:cs="Arial"/>
        </w:rPr>
        <w:t>Formally reviewing individual performance at least twice per year</w:t>
      </w:r>
    </w:p>
    <w:p w:rsidR="00A65E43" w:rsidRDefault="00A65E43" w:rsidP="00A65E43">
      <w:pPr>
        <w:tabs>
          <w:tab w:val="num" w:pos="1800"/>
        </w:tabs>
        <w:jc w:val="both"/>
        <w:rPr>
          <w:rFonts w:cs="Arial"/>
        </w:rPr>
      </w:pPr>
    </w:p>
    <w:p w:rsidR="0026194B" w:rsidRDefault="0026194B" w:rsidP="00402BBA">
      <w:pPr>
        <w:jc w:val="both"/>
        <w:rPr>
          <w:rFonts w:cs="Arial"/>
        </w:rPr>
      </w:pPr>
      <w:r w:rsidRPr="00B14B99">
        <w:rPr>
          <w:rFonts w:cs="Arial"/>
        </w:rPr>
        <w:t>The PDAP tool is dynamic document that you should be using from the commencement of your employment</w:t>
      </w:r>
      <w:r w:rsidRPr="00245527">
        <w:rPr>
          <w:rFonts w:cs="Arial"/>
          <w:vertAlign w:val="superscript"/>
        </w:rPr>
        <w:footnoteReference w:id="1"/>
      </w:r>
      <w:r w:rsidRPr="00B14B99">
        <w:rPr>
          <w:rFonts w:cs="Arial"/>
        </w:rPr>
        <w:t xml:space="preserve"> to record your KPIs and development </w:t>
      </w:r>
      <w:r w:rsidR="00402BBA">
        <w:rPr>
          <w:rFonts w:cs="Arial"/>
        </w:rPr>
        <w:t>plan. The tool is available on your personal mercury account and can be completed electronically.</w:t>
      </w:r>
      <w:r w:rsidRPr="00B14B99">
        <w:rPr>
          <w:rFonts w:cs="Arial"/>
        </w:rPr>
        <w:t xml:space="preserve"> </w:t>
      </w:r>
      <w:r w:rsidR="00402BBA">
        <w:rPr>
          <w:rFonts w:cs="Arial"/>
        </w:rPr>
        <w:t xml:space="preserve"> </w:t>
      </w:r>
      <w:r w:rsidRPr="00245527">
        <w:rPr>
          <w:rFonts w:cs="Arial"/>
        </w:rPr>
        <w:t xml:space="preserve">As part of your PDAP you are required to formulate objectives relevant to KPIs and development areas. </w:t>
      </w:r>
    </w:p>
    <w:p w:rsidR="00402BBA" w:rsidRDefault="00402BBA" w:rsidP="00402BBA">
      <w:pPr>
        <w:jc w:val="both"/>
        <w:rPr>
          <w:rFonts w:cs="Arial"/>
        </w:rPr>
      </w:pPr>
    </w:p>
    <w:p w:rsidR="00402BBA" w:rsidRDefault="00402BBA" w:rsidP="00402BBA">
      <w:pPr>
        <w:jc w:val="both"/>
        <w:rPr>
          <w:rFonts w:cs="Arial"/>
        </w:rPr>
      </w:pPr>
    </w:p>
    <w:p w:rsidR="00402BBA" w:rsidRDefault="00402BBA" w:rsidP="00402BBA">
      <w:pPr>
        <w:jc w:val="both"/>
        <w:rPr>
          <w:rFonts w:cs="Arial"/>
        </w:rPr>
      </w:pPr>
    </w:p>
    <w:p w:rsidR="00402BBA" w:rsidRDefault="00402BBA" w:rsidP="00402BBA">
      <w:pPr>
        <w:jc w:val="both"/>
        <w:rPr>
          <w:rFonts w:cs="Arial"/>
        </w:rPr>
      </w:pPr>
    </w:p>
    <w:p w:rsidR="00402BBA" w:rsidRDefault="00402BBA" w:rsidP="00402BBA">
      <w:pPr>
        <w:jc w:val="both"/>
        <w:rPr>
          <w:rFonts w:cs="Arial"/>
        </w:rPr>
      </w:pPr>
    </w:p>
    <w:p w:rsidR="00402BBA" w:rsidRDefault="00402BBA" w:rsidP="00402BBA">
      <w:pPr>
        <w:jc w:val="both"/>
        <w:rPr>
          <w:rFonts w:cs="Arial"/>
        </w:rPr>
      </w:pPr>
    </w:p>
    <w:p w:rsidR="00402BBA" w:rsidRDefault="00402BBA" w:rsidP="00402BBA">
      <w:pPr>
        <w:jc w:val="both"/>
        <w:rPr>
          <w:rFonts w:cs="Arial"/>
        </w:rPr>
      </w:pPr>
    </w:p>
    <w:p w:rsidR="00402BBA" w:rsidRPr="00D7099A" w:rsidRDefault="00402BBA" w:rsidP="00402BBA">
      <w:pPr>
        <w:jc w:val="both"/>
        <w:rPr>
          <w:rFonts w:cs="Arial"/>
        </w:rPr>
      </w:pPr>
    </w:p>
    <w:p w:rsidR="00245527" w:rsidRDefault="00245527" w:rsidP="00245527">
      <w:pPr>
        <w:rPr>
          <w:rFonts w:cs="Arial"/>
        </w:rPr>
      </w:pPr>
      <w:bookmarkStart w:id="38" w:name="_Toc199910024"/>
      <w:bookmarkStart w:id="39" w:name="_Toc199916378"/>
      <w:bookmarkStart w:id="40" w:name="_Toc199921355"/>
      <w:bookmarkStart w:id="41" w:name="_Toc199922005"/>
      <w:bookmarkStart w:id="42" w:name="_Toc202168720"/>
      <w:bookmarkStart w:id="43" w:name="_Toc203960261"/>
      <w:bookmarkStart w:id="44" w:name="_Toc274136431"/>
      <w:bookmarkStart w:id="45" w:name="_Toc346092326"/>
    </w:p>
    <w:p w:rsidR="00D24982" w:rsidRPr="00245527" w:rsidRDefault="00D24982" w:rsidP="00A65E43">
      <w:pPr>
        <w:pStyle w:val="Heading3"/>
        <w:rPr>
          <w:spacing w:val="4"/>
          <w:u w:val="single"/>
        </w:rPr>
      </w:pPr>
      <w:bookmarkStart w:id="46" w:name="_Toc500312460"/>
      <w:r w:rsidRPr="00245527">
        <w:t>RCH Nursing Pathway</w:t>
      </w:r>
      <w:bookmarkEnd w:id="38"/>
      <w:bookmarkEnd w:id="39"/>
      <w:bookmarkEnd w:id="40"/>
      <w:bookmarkEnd w:id="41"/>
      <w:bookmarkEnd w:id="42"/>
      <w:bookmarkEnd w:id="43"/>
      <w:bookmarkEnd w:id="44"/>
      <w:r w:rsidRPr="00D7099A">
        <w:rPr>
          <w:rStyle w:val="FootnoteReference"/>
        </w:rPr>
        <w:footnoteReference w:id="2"/>
      </w:r>
      <w:bookmarkEnd w:id="45"/>
      <w:bookmarkEnd w:id="46"/>
      <w:r w:rsidRPr="00D7099A">
        <w:t xml:space="preserve"> </w:t>
      </w:r>
    </w:p>
    <w:p w:rsidR="00D24982" w:rsidRPr="00D7099A" w:rsidRDefault="00D24982" w:rsidP="00245527">
      <w:pPr>
        <w:spacing w:after="120"/>
        <w:jc w:val="both"/>
        <w:rPr>
          <w:rFonts w:cs="Arial"/>
        </w:rPr>
      </w:pPr>
      <w:r w:rsidRPr="00D7099A">
        <w:rPr>
          <w:rFonts w:cs="Arial"/>
        </w:rPr>
        <w:t>Dates should be set in consultation with your Unit Manager / Manager / CNE/</w:t>
      </w:r>
      <w:r w:rsidR="00533091" w:rsidRPr="00D7099A">
        <w:rPr>
          <w:rFonts w:cs="Arial"/>
        </w:rPr>
        <w:t>CSN</w:t>
      </w:r>
      <w:r w:rsidRPr="00D7099A">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3"/>
        <w:gridCol w:w="3089"/>
      </w:tblGrid>
      <w:tr w:rsidR="00E0693A" w:rsidRPr="00D7099A" w:rsidTr="00E0693A">
        <w:tc>
          <w:tcPr>
            <w:tcW w:w="7621" w:type="dxa"/>
            <w:tcMar>
              <w:top w:w="28" w:type="dxa"/>
              <w:bottom w:w="28" w:type="dxa"/>
            </w:tcMar>
          </w:tcPr>
          <w:p w:rsidR="00E0693A" w:rsidRPr="00D7099A" w:rsidRDefault="00E0693A" w:rsidP="00245527">
            <w:pPr>
              <w:jc w:val="center"/>
              <w:rPr>
                <w:rFonts w:cs="Arial"/>
                <w:b/>
              </w:rPr>
            </w:pPr>
            <w:r>
              <w:rPr>
                <w:rFonts w:cs="Arial"/>
                <w:b/>
              </w:rPr>
              <w:t>PATHWAY DETAILS</w:t>
            </w:r>
          </w:p>
        </w:tc>
        <w:tc>
          <w:tcPr>
            <w:tcW w:w="3119" w:type="dxa"/>
            <w:tcMar>
              <w:top w:w="28" w:type="dxa"/>
              <w:bottom w:w="28" w:type="dxa"/>
            </w:tcMar>
          </w:tcPr>
          <w:p w:rsidR="00E0693A" w:rsidRPr="00D7099A" w:rsidRDefault="00E0693A" w:rsidP="00D7099A">
            <w:pPr>
              <w:jc w:val="center"/>
              <w:rPr>
                <w:rFonts w:cs="Arial"/>
                <w:b/>
              </w:rPr>
            </w:pPr>
            <w:r>
              <w:rPr>
                <w:rFonts w:cs="Arial"/>
                <w:b/>
              </w:rPr>
              <w:t>DUE DATE</w:t>
            </w:r>
          </w:p>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Prior to starting</w:t>
            </w:r>
          </w:p>
          <w:p w:rsidR="00D24982" w:rsidRDefault="00D24982" w:rsidP="00245527">
            <w:pPr>
              <w:jc w:val="center"/>
              <w:rPr>
                <w:rFonts w:cs="Arial"/>
              </w:rPr>
            </w:pPr>
            <w:r w:rsidRPr="00D7099A">
              <w:rPr>
                <w:rFonts w:cs="Arial"/>
              </w:rPr>
              <w:t xml:space="preserve">Letter of acceptance and pre reading information from People </w:t>
            </w:r>
            <w:r w:rsidR="00245527">
              <w:rPr>
                <w:rFonts w:cs="Arial"/>
              </w:rPr>
              <w:t>&amp;</w:t>
            </w:r>
            <w:r w:rsidRPr="00D7099A">
              <w:rPr>
                <w:rFonts w:cs="Arial"/>
              </w:rPr>
              <w:t xml:space="preserve"> Culture</w:t>
            </w:r>
          </w:p>
          <w:p w:rsidR="00E0693A" w:rsidRPr="00E0693A" w:rsidRDefault="00E0693A" w:rsidP="00245527">
            <w:pPr>
              <w:jc w:val="center"/>
              <w:rPr>
                <w:rFonts w:cs="Arial"/>
                <w:sz w:val="32"/>
                <w:szCs w:val="32"/>
              </w:rPr>
            </w:pPr>
            <w:r w:rsidRPr="00E0693A">
              <w:rPr>
                <w:rFonts w:cs="Arial"/>
                <w:b/>
                <w:sz w:val="32"/>
                <w:szCs w:val="32"/>
              </w:rPr>
              <w:sym w:font="Symbol" w:char="F0AF"/>
            </w:r>
          </w:p>
        </w:tc>
        <w:tc>
          <w:tcPr>
            <w:tcW w:w="3119" w:type="dxa"/>
            <w:tcMar>
              <w:top w:w="28" w:type="dxa"/>
              <w:bottom w:w="28" w:type="dxa"/>
            </w:tcMar>
          </w:tcPr>
          <w:p w:rsidR="00D24982" w:rsidRPr="00D7099A" w:rsidRDefault="00D24982" w:rsidP="00D7099A">
            <w:pPr>
              <w:jc w:val="center"/>
              <w:rPr>
                <w:rFonts w:cs="Arial"/>
                <w:b/>
              </w:rPr>
            </w:pPr>
          </w:p>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First week</w:t>
            </w:r>
          </w:p>
          <w:p w:rsidR="00D24982" w:rsidRPr="00D7099A" w:rsidRDefault="00D24982" w:rsidP="00245527">
            <w:pPr>
              <w:jc w:val="center"/>
              <w:rPr>
                <w:rFonts w:cs="Arial"/>
              </w:rPr>
            </w:pPr>
            <w:r w:rsidRPr="00D7099A">
              <w:rPr>
                <w:rFonts w:cs="Arial"/>
              </w:rPr>
              <w:t>Introduction to RCH Nursing Competency Framework</w:t>
            </w:r>
          </w:p>
          <w:p w:rsidR="00D24982" w:rsidRPr="00D7099A" w:rsidRDefault="00EB4883" w:rsidP="00245527">
            <w:pPr>
              <w:jc w:val="center"/>
              <w:rPr>
                <w:rFonts w:cs="Arial"/>
              </w:rPr>
            </w:pPr>
            <w:r>
              <w:rPr>
                <w:rFonts w:cs="Arial"/>
              </w:rPr>
              <w:t>Unit/</w:t>
            </w:r>
            <w:r w:rsidR="00D24982" w:rsidRPr="00D7099A">
              <w:rPr>
                <w:rFonts w:cs="Arial"/>
              </w:rPr>
              <w:t>Department Orientation</w:t>
            </w:r>
          </w:p>
          <w:p w:rsidR="00D24982" w:rsidRPr="00D7099A" w:rsidRDefault="00D24982" w:rsidP="00245527">
            <w:pPr>
              <w:jc w:val="center"/>
              <w:rPr>
                <w:rFonts w:cs="Arial"/>
              </w:rPr>
            </w:pPr>
            <w:r w:rsidRPr="00D7099A">
              <w:rPr>
                <w:rFonts w:cs="Arial"/>
              </w:rPr>
              <w:t>Hospital Orientation (if start date coincides)</w:t>
            </w:r>
          </w:p>
          <w:p w:rsidR="00D24982" w:rsidRPr="00D7099A" w:rsidRDefault="00D24982" w:rsidP="00245527">
            <w:pPr>
              <w:jc w:val="center"/>
              <w:rPr>
                <w:rFonts w:cs="Arial"/>
              </w:rPr>
            </w:pPr>
            <w:r w:rsidRPr="00D7099A">
              <w:rPr>
                <w:rFonts w:cs="Arial"/>
              </w:rPr>
              <w:t>Unit orientation with preceptor</w:t>
            </w:r>
          </w:p>
          <w:p w:rsidR="00D24982" w:rsidRDefault="00EB4883" w:rsidP="00245527">
            <w:pPr>
              <w:jc w:val="center"/>
              <w:rPr>
                <w:rFonts w:cs="Arial"/>
              </w:rPr>
            </w:pPr>
            <w:r>
              <w:rPr>
                <w:rFonts w:cs="Arial"/>
              </w:rPr>
              <w:t>Meet with NUM/</w:t>
            </w:r>
            <w:r w:rsidR="00D24982" w:rsidRPr="00D7099A">
              <w:rPr>
                <w:rFonts w:cs="Arial"/>
              </w:rPr>
              <w:t>Manager and CNE/</w:t>
            </w:r>
            <w:r>
              <w:rPr>
                <w:rFonts w:cs="Arial"/>
              </w:rPr>
              <w:t>CSN</w:t>
            </w:r>
          </w:p>
          <w:p w:rsidR="00E0693A" w:rsidRPr="00E0693A" w:rsidRDefault="00E0693A" w:rsidP="00245527">
            <w:pPr>
              <w:jc w:val="center"/>
              <w:rPr>
                <w:rFonts w:cs="Arial"/>
                <w:sz w:val="32"/>
                <w:szCs w:val="32"/>
              </w:rPr>
            </w:pPr>
            <w:r w:rsidRPr="00E0693A">
              <w:rPr>
                <w:rFonts w:cs="Arial"/>
                <w:b/>
                <w:sz w:val="32"/>
                <w:szCs w:val="32"/>
              </w:rPr>
              <w:sym w:font="Symbol" w:char="F0AF"/>
            </w:r>
          </w:p>
        </w:tc>
        <w:tc>
          <w:tcPr>
            <w:tcW w:w="3119" w:type="dxa"/>
            <w:tcMar>
              <w:top w:w="28" w:type="dxa"/>
              <w:bottom w:w="28" w:type="dxa"/>
            </w:tcMar>
          </w:tcPr>
          <w:p w:rsidR="00D24982" w:rsidRPr="00D7099A" w:rsidRDefault="00D24982" w:rsidP="00D7099A"/>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Weeks 2-4 (possibly more if required)</w:t>
            </w:r>
          </w:p>
          <w:p w:rsidR="00D24982" w:rsidRPr="00D7099A" w:rsidRDefault="00D24982" w:rsidP="00245527">
            <w:pPr>
              <w:jc w:val="center"/>
              <w:rPr>
                <w:rFonts w:cs="Arial"/>
              </w:rPr>
            </w:pPr>
            <w:r w:rsidRPr="00D7099A">
              <w:rPr>
                <w:rFonts w:cs="Arial"/>
              </w:rPr>
              <w:t>Hospital orientation (if not already attended)</w:t>
            </w:r>
          </w:p>
          <w:p w:rsidR="00D24982" w:rsidRPr="00D7099A" w:rsidRDefault="00D24982" w:rsidP="00245527">
            <w:pPr>
              <w:jc w:val="center"/>
              <w:rPr>
                <w:rFonts w:cs="Arial"/>
              </w:rPr>
            </w:pPr>
            <w:r w:rsidRPr="00D7099A">
              <w:rPr>
                <w:rFonts w:cs="Arial"/>
              </w:rPr>
              <w:t>Supernumerary (if required) with preceptor)</w:t>
            </w:r>
          </w:p>
          <w:p w:rsidR="00D24982" w:rsidRPr="00D7099A" w:rsidRDefault="00D24982" w:rsidP="00245527">
            <w:pPr>
              <w:jc w:val="center"/>
              <w:rPr>
                <w:rFonts w:cs="Arial"/>
              </w:rPr>
            </w:pPr>
            <w:r w:rsidRPr="00D7099A">
              <w:rPr>
                <w:rFonts w:cs="Arial"/>
              </w:rPr>
              <w:t>Complete mandatory annual competencies</w:t>
            </w:r>
          </w:p>
          <w:p w:rsidR="00D24982" w:rsidRPr="00D7099A" w:rsidRDefault="00D24982" w:rsidP="00245527">
            <w:pPr>
              <w:jc w:val="center"/>
              <w:rPr>
                <w:rFonts w:cs="Arial"/>
              </w:rPr>
            </w:pPr>
            <w:r w:rsidRPr="00D7099A">
              <w:rPr>
                <w:rFonts w:cs="Arial"/>
              </w:rPr>
              <w:t>Develop learning objectives</w:t>
            </w:r>
          </w:p>
          <w:p w:rsidR="00D24982" w:rsidRDefault="00EB4883" w:rsidP="00245527">
            <w:pPr>
              <w:jc w:val="center"/>
              <w:rPr>
                <w:rFonts w:cs="Arial"/>
              </w:rPr>
            </w:pPr>
            <w:r>
              <w:rPr>
                <w:rFonts w:cs="Arial"/>
              </w:rPr>
              <w:t>Discuss progress with NUM/</w:t>
            </w:r>
            <w:r w:rsidR="00D24982" w:rsidRPr="00D7099A">
              <w:rPr>
                <w:rFonts w:cs="Arial"/>
              </w:rPr>
              <w:t>Manager and/or CNE/</w:t>
            </w:r>
            <w:r>
              <w:rPr>
                <w:rFonts w:cs="Arial"/>
              </w:rPr>
              <w:t>CSN</w:t>
            </w:r>
            <w:r w:rsidR="00D24982" w:rsidRPr="00D7099A">
              <w:rPr>
                <w:rFonts w:cs="Arial"/>
              </w:rPr>
              <w:t xml:space="preserve"> and preceptor</w:t>
            </w:r>
          </w:p>
          <w:p w:rsidR="00E0693A" w:rsidRPr="00E0693A" w:rsidRDefault="00E0693A" w:rsidP="00245527">
            <w:pPr>
              <w:jc w:val="center"/>
              <w:rPr>
                <w:rFonts w:cs="Arial"/>
                <w:sz w:val="32"/>
                <w:szCs w:val="32"/>
              </w:rPr>
            </w:pPr>
            <w:r w:rsidRPr="00E0693A">
              <w:rPr>
                <w:rFonts w:cs="Arial"/>
                <w:b/>
                <w:sz w:val="32"/>
                <w:szCs w:val="32"/>
              </w:rPr>
              <w:sym w:font="Symbol" w:char="F0AF"/>
            </w:r>
          </w:p>
        </w:tc>
        <w:tc>
          <w:tcPr>
            <w:tcW w:w="3119" w:type="dxa"/>
            <w:tcMar>
              <w:top w:w="28" w:type="dxa"/>
              <w:bottom w:w="28" w:type="dxa"/>
            </w:tcMar>
          </w:tcPr>
          <w:p w:rsidR="00D24982" w:rsidRPr="00D7099A" w:rsidRDefault="00D24982" w:rsidP="00D7099A"/>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By week 10</w:t>
            </w:r>
          </w:p>
          <w:p w:rsidR="00D24982" w:rsidRPr="00D7099A" w:rsidRDefault="00D24982" w:rsidP="00245527">
            <w:pPr>
              <w:jc w:val="center"/>
              <w:rPr>
                <w:rFonts w:cs="Arial"/>
              </w:rPr>
            </w:pPr>
            <w:r w:rsidRPr="00D7099A">
              <w:rPr>
                <w:rFonts w:cs="Arial"/>
              </w:rPr>
              <w:t>Complete RCH Nursing Competencies required by week 10</w:t>
            </w:r>
          </w:p>
          <w:p w:rsidR="00D24982" w:rsidRPr="00D7099A" w:rsidRDefault="00D24982" w:rsidP="00245527">
            <w:pPr>
              <w:jc w:val="center"/>
              <w:rPr>
                <w:rFonts w:cs="Arial"/>
              </w:rPr>
            </w:pPr>
            <w:r w:rsidRPr="00D7099A">
              <w:rPr>
                <w:rFonts w:cs="Arial"/>
              </w:rPr>
              <w:t>10 week pe</w:t>
            </w:r>
            <w:r w:rsidR="00EB4883">
              <w:rPr>
                <w:rFonts w:cs="Arial"/>
              </w:rPr>
              <w:t>rformance assessment with NUM/</w:t>
            </w:r>
            <w:r w:rsidRPr="00D7099A">
              <w:rPr>
                <w:rFonts w:cs="Arial"/>
              </w:rPr>
              <w:t>Manager</w:t>
            </w:r>
          </w:p>
          <w:p w:rsidR="00D24982" w:rsidRDefault="00D24982" w:rsidP="00245527">
            <w:pPr>
              <w:jc w:val="center"/>
              <w:rPr>
                <w:rFonts w:cs="Arial"/>
                <w:b/>
              </w:rPr>
            </w:pPr>
            <w:r w:rsidRPr="00D7099A">
              <w:rPr>
                <w:rFonts w:cs="Arial"/>
                <w:b/>
              </w:rPr>
              <w:t>FAMILIARISATION COMPLETE</w:t>
            </w:r>
          </w:p>
          <w:p w:rsidR="00E0693A" w:rsidRPr="00E0693A" w:rsidRDefault="00E0693A" w:rsidP="00245527">
            <w:pPr>
              <w:jc w:val="center"/>
              <w:rPr>
                <w:rFonts w:cs="Arial"/>
                <w:sz w:val="32"/>
                <w:szCs w:val="32"/>
              </w:rPr>
            </w:pPr>
            <w:r w:rsidRPr="00E0693A">
              <w:rPr>
                <w:rFonts w:cs="Arial"/>
                <w:b/>
                <w:sz w:val="32"/>
                <w:szCs w:val="32"/>
              </w:rPr>
              <w:sym w:font="Symbol" w:char="F0AF"/>
            </w:r>
          </w:p>
        </w:tc>
        <w:tc>
          <w:tcPr>
            <w:tcW w:w="3119" w:type="dxa"/>
            <w:tcMar>
              <w:top w:w="28" w:type="dxa"/>
              <w:bottom w:w="28" w:type="dxa"/>
            </w:tcMar>
          </w:tcPr>
          <w:p w:rsidR="00D24982" w:rsidRPr="00D7099A" w:rsidRDefault="00D24982" w:rsidP="00D7099A"/>
        </w:tc>
      </w:tr>
      <w:tr w:rsidR="00402BBA" w:rsidRPr="00D7099A" w:rsidTr="00E0693A">
        <w:tc>
          <w:tcPr>
            <w:tcW w:w="7621" w:type="dxa"/>
            <w:tcMar>
              <w:top w:w="28" w:type="dxa"/>
              <w:bottom w:w="28" w:type="dxa"/>
            </w:tcMar>
          </w:tcPr>
          <w:p w:rsidR="00402BBA" w:rsidRDefault="00402BBA" w:rsidP="00245527">
            <w:pPr>
              <w:jc w:val="center"/>
              <w:rPr>
                <w:rFonts w:cs="Arial"/>
                <w:b/>
              </w:rPr>
            </w:pPr>
            <w:r>
              <w:rPr>
                <w:rFonts w:cs="Arial"/>
                <w:b/>
              </w:rPr>
              <w:t>By 6 months</w:t>
            </w:r>
          </w:p>
          <w:p w:rsidR="00402BBA" w:rsidRPr="00D7099A" w:rsidRDefault="00402BBA" w:rsidP="00402BBA">
            <w:pPr>
              <w:jc w:val="center"/>
              <w:rPr>
                <w:rFonts w:cs="Arial"/>
              </w:rPr>
            </w:pPr>
            <w:r w:rsidRPr="00D7099A">
              <w:rPr>
                <w:rFonts w:cs="Arial"/>
              </w:rPr>
              <w:t xml:space="preserve">Complete </w:t>
            </w:r>
            <w:r>
              <w:rPr>
                <w:rFonts w:cs="Arial"/>
              </w:rPr>
              <w:t>Probation Period (new employees only)</w:t>
            </w:r>
          </w:p>
          <w:p w:rsidR="00402BBA" w:rsidRPr="00D7099A" w:rsidRDefault="00402BBA" w:rsidP="00402BBA">
            <w:pPr>
              <w:jc w:val="center"/>
              <w:rPr>
                <w:rFonts w:cs="Arial"/>
                <w:b/>
              </w:rPr>
            </w:pPr>
            <w:r>
              <w:rPr>
                <w:rFonts w:cs="Arial"/>
              </w:rPr>
              <w:t>&amp; probation PDAP</w:t>
            </w:r>
          </w:p>
        </w:tc>
        <w:tc>
          <w:tcPr>
            <w:tcW w:w="3119" w:type="dxa"/>
            <w:tcMar>
              <w:top w:w="28" w:type="dxa"/>
              <w:bottom w:w="28" w:type="dxa"/>
            </w:tcMar>
          </w:tcPr>
          <w:p w:rsidR="00402BBA" w:rsidRPr="00D7099A" w:rsidRDefault="00402BBA" w:rsidP="00D7099A"/>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By 12 months</w:t>
            </w:r>
          </w:p>
          <w:p w:rsidR="00D24982" w:rsidRPr="00D7099A" w:rsidRDefault="00D24982" w:rsidP="00245527">
            <w:pPr>
              <w:jc w:val="center"/>
              <w:rPr>
                <w:rFonts w:cs="Arial"/>
              </w:rPr>
            </w:pPr>
            <w:r w:rsidRPr="00D7099A">
              <w:rPr>
                <w:rFonts w:cs="Arial"/>
              </w:rPr>
              <w:t>Continue to complete and develop new learning objectives</w:t>
            </w:r>
          </w:p>
          <w:p w:rsidR="00D24982" w:rsidRPr="00D7099A" w:rsidRDefault="00D24982" w:rsidP="00245527">
            <w:pPr>
              <w:jc w:val="center"/>
              <w:rPr>
                <w:rFonts w:cs="Arial"/>
              </w:rPr>
            </w:pPr>
            <w:r w:rsidRPr="00D7099A">
              <w:rPr>
                <w:rFonts w:cs="Arial"/>
              </w:rPr>
              <w:t>Complete RCH Nursing Competencies required by 12 months</w:t>
            </w:r>
          </w:p>
          <w:p w:rsidR="00D24982" w:rsidRPr="00D7099A" w:rsidRDefault="00D24982" w:rsidP="00245527">
            <w:pPr>
              <w:jc w:val="center"/>
              <w:rPr>
                <w:rFonts w:cs="Arial"/>
              </w:rPr>
            </w:pPr>
            <w:r w:rsidRPr="00D7099A">
              <w:rPr>
                <w:rFonts w:cs="Arial"/>
              </w:rPr>
              <w:t>12 month pe</w:t>
            </w:r>
            <w:r w:rsidR="00EB4883">
              <w:rPr>
                <w:rFonts w:cs="Arial"/>
              </w:rPr>
              <w:t>rformance assessment with NUM/</w:t>
            </w:r>
            <w:r w:rsidRPr="00D7099A">
              <w:rPr>
                <w:rFonts w:cs="Arial"/>
              </w:rPr>
              <w:t>Manager</w:t>
            </w:r>
          </w:p>
          <w:p w:rsidR="00D24982" w:rsidRDefault="00402BBA" w:rsidP="00245527">
            <w:pPr>
              <w:jc w:val="center"/>
              <w:rPr>
                <w:rFonts w:cs="Arial"/>
                <w:i/>
                <w:sz w:val="18"/>
                <w:szCs w:val="18"/>
              </w:rPr>
            </w:pPr>
            <w:r>
              <w:rPr>
                <w:rFonts w:cs="Arial"/>
                <w:i/>
                <w:sz w:val="18"/>
                <w:szCs w:val="18"/>
              </w:rPr>
              <w:t>(6</w:t>
            </w:r>
            <w:r w:rsidR="00D24982" w:rsidRPr="00E0693A">
              <w:rPr>
                <w:rFonts w:cs="Arial"/>
                <w:i/>
                <w:sz w:val="18"/>
                <w:szCs w:val="18"/>
              </w:rPr>
              <w:t>, and 12 month performance assessments for graduate nurse program participants with NUM, CNE/</w:t>
            </w:r>
            <w:r w:rsidR="00533091" w:rsidRPr="00E0693A">
              <w:rPr>
                <w:rFonts w:cs="Arial"/>
                <w:i/>
                <w:sz w:val="18"/>
                <w:szCs w:val="18"/>
              </w:rPr>
              <w:t>CSN</w:t>
            </w:r>
            <w:r w:rsidR="00D24982" w:rsidRPr="00E0693A">
              <w:rPr>
                <w:rFonts w:cs="Arial"/>
                <w:i/>
                <w:sz w:val="18"/>
                <w:szCs w:val="18"/>
              </w:rPr>
              <w:t>, preceptor and program coordinator)</w:t>
            </w:r>
          </w:p>
          <w:p w:rsidR="00E0693A" w:rsidRPr="00E0693A" w:rsidRDefault="00E0693A" w:rsidP="00245527">
            <w:pPr>
              <w:jc w:val="center"/>
              <w:rPr>
                <w:rFonts w:cs="Arial"/>
                <w:b/>
                <w:sz w:val="32"/>
                <w:szCs w:val="32"/>
              </w:rPr>
            </w:pPr>
            <w:r w:rsidRPr="00E0693A">
              <w:rPr>
                <w:rFonts w:cs="Arial"/>
                <w:b/>
                <w:sz w:val="32"/>
                <w:szCs w:val="32"/>
              </w:rPr>
              <w:sym w:font="Symbol" w:char="F0AF"/>
            </w:r>
          </w:p>
        </w:tc>
        <w:tc>
          <w:tcPr>
            <w:tcW w:w="3119" w:type="dxa"/>
            <w:tcMar>
              <w:top w:w="28" w:type="dxa"/>
              <w:bottom w:w="28" w:type="dxa"/>
            </w:tcMar>
          </w:tcPr>
          <w:p w:rsidR="00D24982" w:rsidRPr="00D7099A" w:rsidRDefault="00D24982" w:rsidP="00D7099A"/>
        </w:tc>
      </w:tr>
      <w:tr w:rsidR="00D24982" w:rsidRPr="00D7099A" w:rsidTr="00E0693A">
        <w:tc>
          <w:tcPr>
            <w:tcW w:w="7621" w:type="dxa"/>
            <w:tcMar>
              <w:top w:w="28" w:type="dxa"/>
              <w:bottom w:w="28" w:type="dxa"/>
            </w:tcMar>
          </w:tcPr>
          <w:p w:rsidR="00D24982" w:rsidRPr="00D7099A" w:rsidRDefault="00D24982" w:rsidP="00245527">
            <w:pPr>
              <w:jc w:val="center"/>
              <w:rPr>
                <w:rFonts w:cs="Arial"/>
                <w:b/>
              </w:rPr>
            </w:pPr>
            <w:r w:rsidRPr="00D7099A">
              <w:rPr>
                <w:rFonts w:cs="Arial"/>
                <w:b/>
              </w:rPr>
              <w:t>Ongoing</w:t>
            </w:r>
          </w:p>
          <w:p w:rsidR="00D24982" w:rsidRPr="00D7099A" w:rsidRDefault="00D24982" w:rsidP="00245527">
            <w:pPr>
              <w:jc w:val="center"/>
              <w:rPr>
                <w:rFonts w:cs="Arial"/>
              </w:rPr>
            </w:pPr>
            <w:r w:rsidRPr="00D7099A">
              <w:rPr>
                <w:rFonts w:cs="Arial"/>
              </w:rPr>
              <w:t xml:space="preserve">Mandatory annual competencies </w:t>
            </w:r>
          </w:p>
          <w:p w:rsidR="00D24982" w:rsidRPr="00D7099A" w:rsidRDefault="00D24982" w:rsidP="00245527">
            <w:pPr>
              <w:jc w:val="center"/>
              <w:rPr>
                <w:rFonts w:cs="Arial"/>
              </w:rPr>
            </w:pPr>
            <w:r w:rsidRPr="00D7099A">
              <w:rPr>
                <w:rFonts w:cs="Arial"/>
              </w:rPr>
              <w:t>Yearly performance assessments</w:t>
            </w:r>
          </w:p>
          <w:p w:rsidR="00D24982" w:rsidRPr="00D7099A" w:rsidRDefault="00D24982" w:rsidP="00245527">
            <w:pPr>
              <w:jc w:val="center"/>
              <w:rPr>
                <w:rFonts w:cs="Arial"/>
              </w:rPr>
            </w:pPr>
            <w:r w:rsidRPr="00D7099A">
              <w:rPr>
                <w:rFonts w:cs="Arial"/>
              </w:rPr>
              <w:t>Continue to complete and develop new learning objectives</w:t>
            </w:r>
          </w:p>
          <w:p w:rsidR="00E0693A" w:rsidRPr="00E0693A" w:rsidRDefault="00D24982" w:rsidP="00E0693A">
            <w:pPr>
              <w:jc w:val="center"/>
              <w:rPr>
                <w:rFonts w:cs="Arial"/>
              </w:rPr>
            </w:pPr>
            <w:r w:rsidRPr="00D7099A">
              <w:rPr>
                <w:rFonts w:cs="Arial"/>
              </w:rPr>
              <w:t>Maintenance of professional practice portfolio</w:t>
            </w:r>
          </w:p>
        </w:tc>
        <w:tc>
          <w:tcPr>
            <w:tcW w:w="3119" w:type="dxa"/>
            <w:tcMar>
              <w:top w:w="28" w:type="dxa"/>
              <w:bottom w:w="28" w:type="dxa"/>
            </w:tcMar>
          </w:tcPr>
          <w:p w:rsidR="00D24982" w:rsidRPr="00D7099A" w:rsidRDefault="00D24982" w:rsidP="00D7099A"/>
        </w:tc>
      </w:tr>
    </w:tbl>
    <w:p w:rsidR="00BA13A9" w:rsidRPr="0040620E" w:rsidRDefault="00D24982" w:rsidP="00A65E43">
      <w:pPr>
        <w:pStyle w:val="Heading2"/>
        <w:rPr>
          <w:color w:val="000000" w:themeColor="text1"/>
        </w:rPr>
      </w:pPr>
      <w:r w:rsidRPr="00D7099A">
        <w:rPr>
          <w:sz w:val="20"/>
          <w:szCs w:val="20"/>
        </w:rPr>
        <w:br w:type="page"/>
      </w:r>
      <w:bookmarkStart w:id="47" w:name="_Toc500312461"/>
      <w:bookmarkStart w:id="48" w:name="_Toc346092327"/>
      <w:r w:rsidR="00BA13A9" w:rsidRPr="0040620E">
        <w:rPr>
          <w:color w:val="000000" w:themeColor="text1"/>
        </w:rPr>
        <w:t>Useful Resources</w:t>
      </w:r>
      <w:bookmarkEnd w:id="47"/>
    </w:p>
    <w:p w:rsidR="00E0693A" w:rsidRPr="0040620E" w:rsidRDefault="00BA13A9" w:rsidP="00E0693A">
      <w:pPr>
        <w:pStyle w:val="NormalWeb"/>
        <w:tabs>
          <w:tab w:val="left" w:pos="2700"/>
          <w:tab w:val="left" w:pos="2880"/>
        </w:tabs>
        <w:spacing w:before="0" w:beforeAutospacing="0" w:after="120" w:afterAutospacing="0"/>
        <w:jc w:val="both"/>
        <w:rPr>
          <w:rFonts w:ascii="Verdana" w:hAnsi="Verdana" w:cs="Arial"/>
          <w:color w:val="000000" w:themeColor="text1"/>
          <w:szCs w:val="20"/>
        </w:rPr>
      </w:pPr>
      <w:r w:rsidRPr="0040620E">
        <w:rPr>
          <w:rFonts w:ascii="Verdana" w:hAnsi="Verdana" w:cs="Arial"/>
          <w:color w:val="000000" w:themeColor="text1"/>
          <w:szCs w:val="20"/>
        </w:rPr>
        <w:t>You are encouraged to explore and utilise the vast array or resources available to you. Some that you might be particularly directed towards on the intranet include:</w:t>
      </w:r>
    </w:p>
    <w:p w:rsidR="00BA13A9" w:rsidRPr="0040620E" w:rsidRDefault="00BA13A9" w:rsidP="00E0693A">
      <w:pPr>
        <w:pStyle w:val="NormalWeb"/>
        <w:tabs>
          <w:tab w:val="left" w:pos="2700"/>
          <w:tab w:val="left" w:pos="2880"/>
        </w:tabs>
        <w:spacing w:before="0" w:beforeAutospacing="0" w:after="120" w:afterAutospacing="0"/>
        <w:rPr>
          <w:rFonts w:ascii="Verdana" w:hAnsi="Verdana" w:cs="Arial"/>
          <w:b/>
          <w:color w:val="000000" w:themeColor="text1"/>
          <w:szCs w:val="20"/>
        </w:rPr>
      </w:pPr>
      <w:r w:rsidRPr="0040620E">
        <w:rPr>
          <w:rFonts w:ascii="Verdana" w:hAnsi="Verdana" w:cs="Arial"/>
          <w:b/>
          <w:color w:val="000000" w:themeColor="text1"/>
          <w:szCs w:val="20"/>
        </w:rPr>
        <w:t>RCH Website:</w:t>
      </w:r>
      <w:r w:rsidRPr="0040620E">
        <w:rPr>
          <w:rFonts w:ascii="Verdana" w:hAnsi="Verdana" w:cs="Arial"/>
          <w:b/>
          <w:color w:val="000000" w:themeColor="text1"/>
          <w:szCs w:val="20"/>
        </w:rPr>
        <w:tab/>
      </w:r>
      <w:r w:rsidRPr="0040620E">
        <w:rPr>
          <w:rFonts w:ascii="Verdana" w:hAnsi="Verdana" w:cs="Arial"/>
          <w:b/>
          <w:color w:val="000000" w:themeColor="text1"/>
          <w:szCs w:val="20"/>
        </w:rPr>
        <w:tab/>
      </w:r>
      <w:hyperlink r:id="rId13" w:history="1">
        <w:r w:rsidRPr="0040620E">
          <w:rPr>
            <w:rStyle w:val="Hyperlink"/>
            <w:rFonts w:ascii="Verdana" w:hAnsi="Verdana" w:cs="Arial"/>
            <w:b/>
            <w:color w:val="000000" w:themeColor="text1"/>
            <w:szCs w:val="20"/>
          </w:rPr>
          <w:t>www.rch.org.au</w:t>
        </w:r>
      </w:hyperlink>
    </w:p>
    <w:p w:rsidR="00BA13A9" w:rsidRPr="0040620E" w:rsidRDefault="00BA13A9" w:rsidP="008104C9">
      <w:pPr>
        <w:pStyle w:val="NormalWeb"/>
        <w:tabs>
          <w:tab w:val="left" w:pos="2880"/>
        </w:tabs>
        <w:spacing w:before="0" w:beforeAutospacing="0" w:after="0" w:afterAutospacing="0"/>
        <w:rPr>
          <w:rFonts w:ascii="Verdana" w:hAnsi="Verdana" w:cs="Arial"/>
          <w:color w:val="000000" w:themeColor="text1"/>
          <w:szCs w:val="20"/>
        </w:rPr>
      </w:pPr>
      <w:r w:rsidRPr="0040620E">
        <w:rPr>
          <w:rFonts w:ascii="Verdana" w:hAnsi="Verdana" w:cs="Arial"/>
          <w:color w:val="000000" w:themeColor="text1"/>
          <w:szCs w:val="20"/>
        </w:rPr>
        <w:t>RCH Nursing Services</w:t>
      </w:r>
      <w:r w:rsidRPr="0040620E">
        <w:rPr>
          <w:rFonts w:ascii="Verdana" w:hAnsi="Verdana" w:cs="Arial"/>
          <w:color w:val="000000" w:themeColor="text1"/>
          <w:szCs w:val="20"/>
        </w:rPr>
        <w:tab/>
      </w:r>
      <w:hyperlink r:id="rId14" w:history="1">
        <w:r w:rsidRPr="0040620E">
          <w:rPr>
            <w:rStyle w:val="Hyperlink"/>
            <w:rFonts w:ascii="Verdana" w:hAnsi="Verdana" w:cs="Arial"/>
            <w:color w:val="000000" w:themeColor="text1"/>
            <w:szCs w:val="20"/>
          </w:rPr>
          <w:t>http://www.rch.org.au/nursing/index.cfm?doc_id=10944</w:t>
        </w:r>
      </w:hyperlink>
      <w:r w:rsidRPr="0040620E">
        <w:rPr>
          <w:rFonts w:ascii="Verdana" w:hAnsi="Verdana" w:cs="Arial"/>
          <w:color w:val="000000" w:themeColor="text1"/>
          <w:szCs w:val="20"/>
        </w:rPr>
        <w:t xml:space="preserve"> </w:t>
      </w:r>
    </w:p>
    <w:p w:rsidR="00BA13A9" w:rsidRPr="0040620E" w:rsidRDefault="00BA13A9" w:rsidP="008104C9">
      <w:pPr>
        <w:pStyle w:val="NormalWeb"/>
        <w:tabs>
          <w:tab w:val="left" w:pos="2880"/>
        </w:tabs>
        <w:spacing w:before="0" w:beforeAutospacing="0" w:after="0" w:afterAutospacing="0"/>
        <w:rPr>
          <w:rFonts w:ascii="Verdana" w:hAnsi="Verdana" w:cs="Arial"/>
          <w:color w:val="000000" w:themeColor="text1"/>
          <w:szCs w:val="20"/>
        </w:rPr>
      </w:pPr>
      <w:r w:rsidRPr="0040620E">
        <w:rPr>
          <w:rFonts w:ascii="Verdana" w:hAnsi="Verdana" w:cs="Arial"/>
          <w:color w:val="000000" w:themeColor="text1"/>
          <w:szCs w:val="20"/>
        </w:rPr>
        <w:t>Nursing Education</w:t>
      </w:r>
      <w:r w:rsidR="00E0693A" w:rsidRPr="0040620E">
        <w:rPr>
          <w:rFonts w:ascii="Verdana" w:hAnsi="Verdana" w:cs="Arial"/>
          <w:color w:val="000000" w:themeColor="text1"/>
          <w:szCs w:val="20"/>
        </w:rPr>
        <w:tab/>
      </w:r>
      <w:hyperlink r:id="rId15" w:history="1">
        <w:r w:rsidR="00E0693A" w:rsidRPr="0040620E">
          <w:rPr>
            <w:rStyle w:val="Hyperlink"/>
            <w:rFonts w:ascii="Verdana" w:hAnsi="Verdana" w:cs="Arial"/>
            <w:color w:val="000000" w:themeColor="text1"/>
            <w:szCs w:val="20"/>
          </w:rPr>
          <w:t>http://www.rch.org.au/mcpc/index.cfm?doc_id=11861</w:t>
        </w:r>
      </w:hyperlink>
      <w:r w:rsidRPr="0040620E">
        <w:rPr>
          <w:rFonts w:ascii="Verdana" w:hAnsi="Verdana" w:cs="Arial"/>
          <w:color w:val="000000" w:themeColor="text1"/>
          <w:szCs w:val="20"/>
        </w:rPr>
        <w:tab/>
      </w:r>
    </w:p>
    <w:p w:rsidR="00BA13A9" w:rsidRPr="0040620E" w:rsidRDefault="00BA13A9" w:rsidP="008104C9">
      <w:pPr>
        <w:pStyle w:val="NormalWeb"/>
        <w:tabs>
          <w:tab w:val="left" w:pos="2880"/>
        </w:tabs>
        <w:spacing w:before="0" w:beforeAutospacing="0" w:after="0" w:afterAutospacing="0"/>
        <w:rPr>
          <w:rFonts w:ascii="Verdana" w:hAnsi="Verdana" w:cs="Arial"/>
          <w:color w:val="000000" w:themeColor="text1"/>
          <w:szCs w:val="20"/>
        </w:rPr>
      </w:pPr>
      <w:r w:rsidRPr="0040620E">
        <w:rPr>
          <w:rFonts w:ascii="Verdana" w:hAnsi="Verdana" w:cs="Arial"/>
          <w:color w:val="000000" w:themeColor="text1"/>
          <w:szCs w:val="20"/>
        </w:rPr>
        <w:t>RCH Clinical Practice</w:t>
      </w:r>
      <w:r w:rsidRPr="0040620E">
        <w:rPr>
          <w:rFonts w:ascii="Verdana" w:hAnsi="Verdana" w:cs="Arial"/>
          <w:color w:val="000000" w:themeColor="text1"/>
          <w:szCs w:val="20"/>
        </w:rPr>
        <w:tab/>
      </w:r>
      <w:hyperlink r:id="rId16" w:history="1">
        <w:r w:rsidR="00E0693A" w:rsidRPr="0040620E">
          <w:rPr>
            <w:rStyle w:val="Hyperlink"/>
            <w:rFonts w:ascii="Verdana" w:hAnsi="Verdana" w:cs="Arial"/>
            <w:color w:val="000000" w:themeColor="text1"/>
            <w:szCs w:val="20"/>
          </w:rPr>
          <w:t>http://www.rch.org.au/clinicalguide/</w:t>
        </w:r>
      </w:hyperlink>
    </w:p>
    <w:p w:rsidR="00BA13A9" w:rsidRPr="0040620E" w:rsidRDefault="00E0693A" w:rsidP="008104C9">
      <w:pPr>
        <w:pStyle w:val="NormalWeb"/>
        <w:tabs>
          <w:tab w:val="left" w:pos="2880"/>
        </w:tabs>
        <w:spacing w:before="0" w:beforeAutospacing="0" w:after="0" w:afterAutospacing="0"/>
        <w:rPr>
          <w:rFonts w:ascii="Verdana" w:hAnsi="Verdana" w:cs="Arial"/>
          <w:color w:val="000000" w:themeColor="text1"/>
          <w:sz w:val="8"/>
          <w:szCs w:val="8"/>
        </w:rPr>
      </w:pPr>
      <w:r w:rsidRPr="0040620E">
        <w:rPr>
          <w:rFonts w:ascii="Verdana" w:hAnsi="Verdana" w:cs="Arial"/>
          <w:color w:val="000000" w:themeColor="text1"/>
          <w:szCs w:val="20"/>
        </w:rPr>
        <w:t>Guidelines</w:t>
      </w:r>
      <w:r w:rsidR="00BA13A9" w:rsidRPr="0040620E">
        <w:rPr>
          <w:rFonts w:ascii="Verdana" w:hAnsi="Verdana" w:cs="Arial"/>
          <w:color w:val="000000" w:themeColor="text1"/>
          <w:szCs w:val="20"/>
        </w:rPr>
        <w:tab/>
      </w:r>
    </w:p>
    <w:p w:rsidR="00BA13A9" w:rsidRPr="0040620E" w:rsidRDefault="00E0693A" w:rsidP="008104C9">
      <w:pPr>
        <w:pStyle w:val="NormalWeb"/>
        <w:tabs>
          <w:tab w:val="left" w:pos="2880"/>
        </w:tabs>
        <w:spacing w:before="0" w:beforeAutospacing="0" w:after="0" w:afterAutospacing="0"/>
        <w:rPr>
          <w:rFonts w:ascii="Verdana" w:hAnsi="Verdana" w:cs="Arial"/>
          <w:color w:val="000000" w:themeColor="text1"/>
          <w:szCs w:val="20"/>
        </w:rPr>
      </w:pPr>
      <w:r w:rsidRPr="0040620E">
        <w:rPr>
          <w:rFonts w:ascii="Verdana" w:hAnsi="Verdana" w:cs="Arial"/>
          <w:color w:val="000000" w:themeColor="text1"/>
          <w:szCs w:val="20"/>
        </w:rPr>
        <w:t>RCH Clinical Guidelines</w:t>
      </w:r>
      <w:r w:rsidRPr="0040620E">
        <w:rPr>
          <w:rFonts w:ascii="Verdana" w:hAnsi="Verdana" w:cs="Arial"/>
          <w:color w:val="000000" w:themeColor="text1"/>
          <w:szCs w:val="20"/>
        </w:rPr>
        <w:tab/>
      </w:r>
      <w:hyperlink r:id="rId17" w:history="1">
        <w:r w:rsidRPr="0040620E">
          <w:rPr>
            <w:rStyle w:val="Hyperlink"/>
            <w:rFonts w:ascii="Verdana" w:hAnsi="Verdana" w:cs="Arial"/>
            <w:color w:val="000000" w:themeColor="text1"/>
            <w:szCs w:val="20"/>
          </w:rPr>
          <w:t>http://www.rch.org.au/rchcpg/index.cfm</w:t>
        </w:r>
      </w:hyperlink>
      <w:r w:rsidR="00BA13A9" w:rsidRPr="0040620E">
        <w:rPr>
          <w:rFonts w:ascii="Verdana" w:hAnsi="Verdana" w:cs="Arial"/>
          <w:color w:val="000000" w:themeColor="text1"/>
          <w:szCs w:val="20"/>
        </w:rPr>
        <w:tab/>
      </w:r>
    </w:p>
    <w:p w:rsidR="00402BBA" w:rsidRPr="0040620E" w:rsidRDefault="00402BBA" w:rsidP="00402BBA">
      <w:pPr>
        <w:pStyle w:val="NormalWeb"/>
        <w:tabs>
          <w:tab w:val="left" w:pos="2880"/>
        </w:tabs>
        <w:spacing w:before="0" w:beforeAutospacing="0" w:after="0" w:afterAutospacing="0"/>
        <w:rPr>
          <w:rFonts w:ascii="Verdana" w:hAnsi="Verdana" w:cs="Arial"/>
          <w:color w:val="000000" w:themeColor="text1"/>
          <w:szCs w:val="20"/>
        </w:rPr>
      </w:pPr>
      <w:r w:rsidRPr="0040620E">
        <w:rPr>
          <w:rFonts w:ascii="Verdana" w:hAnsi="Verdana" w:cs="Arial"/>
          <w:color w:val="000000" w:themeColor="text1"/>
          <w:szCs w:val="20"/>
        </w:rPr>
        <w:t>Medicines Information</w:t>
      </w:r>
      <w:r w:rsidRPr="0040620E">
        <w:rPr>
          <w:rFonts w:ascii="Verdana" w:hAnsi="Verdana" w:cs="Arial"/>
          <w:color w:val="000000" w:themeColor="text1"/>
          <w:szCs w:val="20"/>
        </w:rPr>
        <w:tab/>
        <w:t>https://www.rch.org.au/pharmacy-intranet/medicines-information/</w:t>
      </w:r>
    </w:p>
    <w:p w:rsidR="00402BBA" w:rsidRPr="0040620E" w:rsidRDefault="00402BBA" w:rsidP="00402BBA">
      <w:pPr>
        <w:pStyle w:val="NormalWeb"/>
        <w:tabs>
          <w:tab w:val="left" w:pos="2880"/>
        </w:tabs>
        <w:spacing w:before="0" w:beforeAutospacing="0" w:after="0" w:afterAutospacing="0"/>
        <w:rPr>
          <w:rFonts w:ascii="Verdana" w:hAnsi="Verdana"/>
          <w:color w:val="000000" w:themeColor="text1"/>
        </w:rPr>
      </w:pPr>
      <w:r w:rsidRPr="0040620E">
        <w:rPr>
          <w:rFonts w:ascii="Verdana" w:hAnsi="Verdana" w:cs="Arial"/>
          <w:color w:val="000000" w:themeColor="text1"/>
          <w:szCs w:val="20"/>
        </w:rPr>
        <w:t xml:space="preserve">AMH Children’s Dosing </w:t>
      </w:r>
      <w:r w:rsidR="00BA13A9" w:rsidRPr="0040620E">
        <w:rPr>
          <w:rFonts w:ascii="Verdana" w:hAnsi="Verdana" w:cs="Arial"/>
          <w:color w:val="000000" w:themeColor="text1"/>
          <w:szCs w:val="20"/>
        </w:rPr>
        <w:tab/>
      </w:r>
      <w:r w:rsidRPr="0040620E">
        <w:rPr>
          <w:rFonts w:ascii="Verdana" w:hAnsi="Verdana"/>
          <w:color w:val="000000" w:themeColor="text1"/>
        </w:rPr>
        <w:t xml:space="preserve">https://childrens.amh.net.au/ </w:t>
      </w:r>
    </w:p>
    <w:p w:rsidR="00BA13A9" w:rsidRPr="0040620E" w:rsidRDefault="00402BBA" w:rsidP="00402BBA">
      <w:pPr>
        <w:pStyle w:val="NormalWeb"/>
        <w:tabs>
          <w:tab w:val="left" w:pos="2880"/>
        </w:tabs>
        <w:spacing w:before="0" w:beforeAutospacing="0" w:after="0" w:afterAutospacing="0"/>
        <w:rPr>
          <w:rFonts w:ascii="Verdana" w:hAnsi="Verdana" w:cs="Arial"/>
          <w:color w:val="000000" w:themeColor="text1"/>
        </w:rPr>
      </w:pPr>
      <w:r w:rsidRPr="0040620E">
        <w:rPr>
          <w:rFonts w:ascii="Verdana" w:hAnsi="Verdana" w:cs="Arial"/>
          <w:color w:val="000000" w:themeColor="text1"/>
        </w:rPr>
        <w:t>Medications</w:t>
      </w:r>
      <w:r w:rsidRPr="0040620E">
        <w:rPr>
          <w:rFonts w:ascii="Verdana" w:hAnsi="Verdana" w:cs="Arial"/>
          <w:color w:val="000000" w:themeColor="text1"/>
        </w:rPr>
        <w:tab/>
      </w:r>
      <w:hyperlink r:id="rId18" w:history="1">
        <w:r w:rsidR="00BA13A9" w:rsidRPr="0040620E">
          <w:rPr>
            <w:rStyle w:val="Hyperlink"/>
            <w:rFonts w:ascii="Verdana" w:hAnsi="Verdana" w:cs="Arial"/>
            <w:color w:val="000000" w:themeColor="text1"/>
          </w:rPr>
          <w:t>http://www.rch.org.au/pharmacy</w:t>
        </w:r>
      </w:hyperlink>
      <w:r w:rsidR="00BA13A9" w:rsidRPr="0040620E">
        <w:rPr>
          <w:rFonts w:ascii="Verdana" w:hAnsi="Verdana" w:cs="Arial"/>
          <w:color w:val="000000" w:themeColor="text1"/>
        </w:rPr>
        <w:t xml:space="preserve"> </w:t>
      </w:r>
    </w:p>
    <w:p w:rsidR="00BA13A9" w:rsidRPr="0040620E" w:rsidRDefault="00BA13A9" w:rsidP="00E0693A">
      <w:pPr>
        <w:spacing w:after="120"/>
        <w:rPr>
          <w:rFonts w:cs="Arial"/>
          <w:color w:val="000000" w:themeColor="text1"/>
        </w:rPr>
      </w:pPr>
      <w:r w:rsidRPr="0040620E">
        <w:rPr>
          <w:rFonts w:cs="Arial"/>
          <w:color w:val="000000" w:themeColor="text1"/>
        </w:rPr>
        <w:t>Infection Control</w:t>
      </w:r>
      <w:r w:rsidRPr="0040620E">
        <w:rPr>
          <w:rFonts w:cs="Arial"/>
          <w:color w:val="000000" w:themeColor="text1"/>
        </w:rPr>
        <w:tab/>
      </w:r>
      <w:r w:rsidRPr="0040620E">
        <w:rPr>
          <w:rFonts w:cs="Arial"/>
          <w:color w:val="000000" w:themeColor="text1"/>
        </w:rPr>
        <w:tab/>
      </w:r>
      <w:hyperlink r:id="rId19" w:history="1">
        <w:r w:rsidRPr="0040620E">
          <w:rPr>
            <w:rStyle w:val="Hyperlink"/>
            <w:rFonts w:cs="Arial"/>
            <w:color w:val="000000" w:themeColor="text1"/>
          </w:rPr>
          <w:t>http://www.rch.org.au/infection_control/staffhealth/</w:t>
        </w:r>
      </w:hyperlink>
      <w:r w:rsidRPr="0040620E">
        <w:rPr>
          <w:rFonts w:cs="Arial"/>
          <w:color w:val="000000" w:themeColor="text1"/>
        </w:rPr>
        <w:tab/>
      </w:r>
      <w:r w:rsidRPr="0040620E">
        <w:rPr>
          <w:rFonts w:cs="Arial"/>
          <w:color w:val="000000" w:themeColor="text1"/>
        </w:rPr>
        <w:tab/>
      </w:r>
    </w:p>
    <w:p w:rsidR="00BA13A9" w:rsidRPr="0040620E" w:rsidRDefault="00BA13A9" w:rsidP="00E0693A">
      <w:pPr>
        <w:spacing w:after="120"/>
        <w:rPr>
          <w:rFonts w:cs="Arial"/>
          <w:color w:val="000000" w:themeColor="text1"/>
        </w:rPr>
      </w:pPr>
      <w:r w:rsidRPr="0040620E">
        <w:rPr>
          <w:rFonts w:cs="Arial"/>
          <w:color w:val="000000" w:themeColor="text1"/>
        </w:rPr>
        <w:t>Bulletin Board</w:t>
      </w:r>
      <w:r w:rsidRPr="0040620E">
        <w:rPr>
          <w:rFonts w:cs="Arial"/>
          <w:color w:val="000000" w:themeColor="text1"/>
        </w:rPr>
        <w:tab/>
      </w:r>
      <w:r w:rsidRPr="0040620E">
        <w:rPr>
          <w:rFonts w:cs="Arial"/>
          <w:color w:val="000000" w:themeColor="text1"/>
        </w:rPr>
        <w:tab/>
      </w:r>
      <w:r w:rsidRPr="0040620E">
        <w:rPr>
          <w:rFonts w:cs="Arial"/>
          <w:color w:val="000000" w:themeColor="text1"/>
        </w:rPr>
        <w:tab/>
      </w:r>
      <w:hyperlink r:id="rId20" w:history="1">
        <w:r w:rsidRPr="0040620E">
          <w:rPr>
            <w:rStyle w:val="Hyperlink"/>
            <w:rFonts w:cs="Arial"/>
            <w:color w:val="000000" w:themeColor="text1"/>
          </w:rPr>
          <w:t>http://www.rch.org.au/...tins/?fuseaction=input.emailConfirm</w:t>
        </w:r>
      </w:hyperlink>
    </w:p>
    <w:p w:rsidR="00BA13A9" w:rsidRPr="0040620E" w:rsidRDefault="00BA13A9" w:rsidP="00E0693A">
      <w:pPr>
        <w:tabs>
          <w:tab w:val="left" w:pos="2880"/>
        </w:tabs>
        <w:rPr>
          <w:color w:val="000000" w:themeColor="text1"/>
        </w:rPr>
      </w:pPr>
      <w:r w:rsidRPr="0040620E">
        <w:rPr>
          <w:rFonts w:cs="Arial"/>
          <w:color w:val="000000" w:themeColor="text1"/>
        </w:rPr>
        <w:t xml:space="preserve">Nurses (Victorian Public </w:t>
      </w:r>
      <w:r w:rsidR="00E0693A" w:rsidRPr="0040620E">
        <w:rPr>
          <w:rFonts w:cs="Arial"/>
          <w:color w:val="000000" w:themeColor="text1"/>
        </w:rPr>
        <w:tab/>
      </w:r>
      <w:hyperlink r:id="rId21" w:anchor="Nurses" w:history="1">
        <w:r w:rsidR="00402BBA" w:rsidRPr="0040620E">
          <w:rPr>
            <w:rStyle w:val="Hyperlink"/>
            <w:color w:val="000000" w:themeColor="text1"/>
          </w:rPr>
          <w:t>https://www.rch.org.au/hr/awards/current/#Nurses</w:t>
        </w:r>
      </w:hyperlink>
    </w:p>
    <w:p w:rsidR="00BA13A9" w:rsidRPr="0040620E" w:rsidRDefault="00402BBA" w:rsidP="00402BBA">
      <w:pPr>
        <w:tabs>
          <w:tab w:val="left" w:pos="1418"/>
        </w:tabs>
        <w:rPr>
          <w:rFonts w:cs="Arial"/>
          <w:color w:val="000000" w:themeColor="text1"/>
        </w:rPr>
      </w:pPr>
      <w:r w:rsidRPr="0040620E">
        <w:rPr>
          <w:rFonts w:cs="Arial"/>
          <w:color w:val="000000" w:themeColor="text1"/>
        </w:rPr>
        <w:t>Health Sector) 2016-2020</w:t>
      </w:r>
      <w:r w:rsidR="00BA13A9" w:rsidRPr="0040620E">
        <w:rPr>
          <w:rFonts w:cs="Arial"/>
          <w:color w:val="000000" w:themeColor="text1"/>
        </w:rPr>
        <w:tab/>
      </w:r>
      <w:r w:rsidR="00BA13A9" w:rsidRPr="0040620E">
        <w:rPr>
          <w:rFonts w:cs="Arial"/>
          <w:color w:val="000000" w:themeColor="text1"/>
        </w:rPr>
        <w:tab/>
        <w:t xml:space="preserve">          </w:t>
      </w:r>
    </w:p>
    <w:p w:rsidR="00402BBA" w:rsidRPr="0040620E" w:rsidRDefault="00402BBA" w:rsidP="00402BBA">
      <w:pPr>
        <w:rPr>
          <w:rFonts w:cs="Arial"/>
          <w:color w:val="000000" w:themeColor="text1"/>
        </w:rPr>
      </w:pPr>
      <w:r w:rsidRPr="0040620E">
        <w:rPr>
          <w:rFonts w:cs="Arial"/>
          <w:color w:val="000000" w:themeColor="text1"/>
        </w:rPr>
        <w:t>MyDNA (pay)</w:t>
      </w:r>
      <w:r w:rsidR="00BA13A9" w:rsidRPr="0040620E">
        <w:rPr>
          <w:rFonts w:cs="Arial"/>
          <w:color w:val="000000" w:themeColor="text1"/>
        </w:rPr>
        <w:tab/>
      </w:r>
      <w:r w:rsidR="00BA13A9" w:rsidRPr="0040620E">
        <w:rPr>
          <w:rFonts w:cs="Arial"/>
          <w:color w:val="000000" w:themeColor="text1"/>
        </w:rPr>
        <w:tab/>
      </w:r>
      <w:r w:rsidR="00BA13A9" w:rsidRPr="0040620E">
        <w:rPr>
          <w:rFonts w:cs="Arial"/>
          <w:color w:val="000000" w:themeColor="text1"/>
        </w:rPr>
        <w:tab/>
      </w:r>
      <w:hyperlink r:id="rId22" w:history="1">
        <w:r w:rsidRPr="0040620E">
          <w:rPr>
            <w:rStyle w:val="Hyperlink"/>
            <w:rFonts w:cs="Arial"/>
            <w:color w:val="000000" w:themeColor="text1"/>
          </w:rPr>
          <w:t>www.mydna.rch.org.au</w:t>
        </w:r>
      </w:hyperlink>
      <w:r w:rsidRPr="0040620E">
        <w:rPr>
          <w:rFonts w:cs="Arial"/>
          <w:color w:val="000000" w:themeColor="text1"/>
        </w:rPr>
        <w:t xml:space="preserve"> </w:t>
      </w:r>
    </w:p>
    <w:p w:rsidR="00BA13A9" w:rsidRPr="0040620E" w:rsidRDefault="00BA13A9" w:rsidP="00402BBA">
      <w:pPr>
        <w:rPr>
          <w:rFonts w:cs="Arial"/>
          <w:color w:val="000000" w:themeColor="text1"/>
        </w:rPr>
      </w:pPr>
      <w:r w:rsidRPr="0040620E">
        <w:rPr>
          <w:rFonts w:cs="Arial"/>
          <w:color w:val="000000" w:themeColor="text1"/>
        </w:rPr>
        <w:t>Human Resources</w:t>
      </w:r>
      <w:r w:rsidRPr="0040620E">
        <w:rPr>
          <w:rFonts w:cs="Arial"/>
          <w:color w:val="000000" w:themeColor="text1"/>
        </w:rPr>
        <w:tab/>
      </w:r>
      <w:r w:rsidRPr="0040620E">
        <w:rPr>
          <w:rFonts w:cs="Arial"/>
          <w:color w:val="000000" w:themeColor="text1"/>
        </w:rPr>
        <w:tab/>
      </w:r>
      <w:hyperlink r:id="rId23" w:history="1">
        <w:r w:rsidR="00402BBA" w:rsidRPr="0040620E">
          <w:rPr>
            <w:rStyle w:val="Hyperlink"/>
            <w:rFonts w:cs="Arial"/>
            <w:color w:val="000000" w:themeColor="text1"/>
          </w:rPr>
          <w:t>http://www.rch.org.au/hr/intranet/contact/</w:t>
        </w:r>
      </w:hyperlink>
    </w:p>
    <w:p w:rsidR="00BA13A9" w:rsidRPr="0040620E" w:rsidRDefault="00BA13A9" w:rsidP="00E0693A">
      <w:pPr>
        <w:rPr>
          <w:rFonts w:cs="Arial"/>
          <w:color w:val="000000" w:themeColor="text1"/>
        </w:rPr>
      </w:pPr>
      <w:r w:rsidRPr="0040620E">
        <w:rPr>
          <w:rFonts w:cs="Arial"/>
          <w:color w:val="000000" w:themeColor="text1"/>
        </w:rPr>
        <w:t xml:space="preserve">(People </w:t>
      </w:r>
      <w:r w:rsidR="00E0693A" w:rsidRPr="0040620E">
        <w:rPr>
          <w:rFonts w:cs="Arial"/>
          <w:color w:val="000000" w:themeColor="text1"/>
        </w:rPr>
        <w:t>&amp;</w:t>
      </w:r>
      <w:r w:rsidRPr="0040620E">
        <w:rPr>
          <w:rFonts w:cs="Arial"/>
          <w:color w:val="000000" w:themeColor="text1"/>
        </w:rPr>
        <w:t xml:space="preserve"> Culture)</w:t>
      </w:r>
      <w:r w:rsidRPr="0040620E">
        <w:rPr>
          <w:rFonts w:cs="Arial"/>
          <w:color w:val="000000" w:themeColor="text1"/>
        </w:rPr>
        <w:tab/>
      </w:r>
      <w:r w:rsidRPr="0040620E">
        <w:rPr>
          <w:rFonts w:cs="Arial"/>
          <w:color w:val="000000" w:themeColor="text1"/>
        </w:rPr>
        <w:tab/>
      </w:r>
      <w:hyperlink r:id="rId24" w:history="1">
        <w:r w:rsidRPr="0040620E">
          <w:rPr>
            <w:rStyle w:val="Hyperlink"/>
            <w:rFonts w:cs="Arial"/>
            <w:color w:val="000000" w:themeColor="text1"/>
          </w:rPr>
          <w:t>http://www.rch.org.au/hr/intranet/faq/</w:t>
        </w:r>
      </w:hyperlink>
    </w:p>
    <w:p w:rsidR="00BA13A9" w:rsidRPr="0040620E" w:rsidRDefault="00BA13A9" w:rsidP="00E0693A">
      <w:pPr>
        <w:spacing w:after="120"/>
        <w:rPr>
          <w:rFonts w:cs="Arial"/>
          <w:color w:val="000000" w:themeColor="text1"/>
        </w:rPr>
      </w:pPr>
      <w:r w:rsidRPr="0040620E">
        <w:rPr>
          <w:rFonts w:cs="Arial"/>
          <w:color w:val="000000" w:themeColor="text1"/>
        </w:rPr>
        <w:tab/>
      </w:r>
      <w:r w:rsidRPr="0040620E">
        <w:rPr>
          <w:rFonts w:cs="Arial"/>
          <w:color w:val="000000" w:themeColor="text1"/>
        </w:rPr>
        <w:tab/>
      </w:r>
      <w:r w:rsidRPr="0040620E">
        <w:rPr>
          <w:rFonts w:cs="Arial"/>
          <w:color w:val="000000" w:themeColor="text1"/>
        </w:rPr>
        <w:tab/>
      </w:r>
      <w:r w:rsidRPr="0040620E">
        <w:rPr>
          <w:rFonts w:cs="Arial"/>
          <w:color w:val="000000" w:themeColor="text1"/>
        </w:rPr>
        <w:tab/>
      </w:r>
      <w:hyperlink r:id="rId25" w:history="1">
        <w:r w:rsidRPr="0040620E">
          <w:rPr>
            <w:rStyle w:val="Hyperlink"/>
            <w:rFonts w:cs="Arial"/>
            <w:color w:val="000000" w:themeColor="text1"/>
          </w:rPr>
          <w:t>http://www.rch.org.au/policy_rch/?doc_id=12637</w:t>
        </w:r>
      </w:hyperlink>
    </w:p>
    <w:p w:rsidR="00BA13A9" w:rsidRPr="0040620E" w:rsidRDefault="00BA13A9" w:rsidP="00E0693A">
      <w:pPr>
        <w:spacing w:after="120"/>
        <w:rPr>
          <w:rFonts w:cs="Arial"/>
          <w:color w:val="000000" w:themeColor="text1"/>
        </w:rPr>
      </w:pPr>
      <w:r w:rsidRPr="0040620E">
        <w:rPr>
          <w:rFonts w:cs="Arial"/>
          <w:color w:val="000000" w:themeColor="text1"/>
        </w:rPr>
        <w:t xml:space="preserve">Information Technology </w:t>
      </w:r>
      <w:r w:rsidRPr="0040620E">
        <w:rPr>
          <w:rFonts w:cs="Arial"/>
          <w:color w:val="000000" w:themeColor="text1"/>
        </w:rPr>
        <w:tab/>
      </w:r>
      <w:hyperlink r:id="rId26" w:history="1">
        <w:r w:rsidRPr="0040620E">
          <w:rPr>
            <w:rStyle w:val="Hyperlink"/>
            <w:rFonts w:cs="Arial"/>
            <w:color w:val="000000" w:themeColor="text1"/>
          </w:rPr>
          <w:t>http://www.rch.org.au/it/help</w:t>
        </w:r>
      </w:hyperlink>
    </w:p>
    <w:p w:rsidR="00BA13A9" w:rsidRPr="008104C9" w:rsidRDefault="00BA13A9" w:rsidP="00BA13A9">
      <w:pPr>
        <w:tabs>
          <w:tab w:val="left" w:pos="2880"/>
        </w:tabs>
        <w:rPr>
          <w:rFonts w:cs="Arial"/>
          <w:sz w:val="16"/>
          <w:szCs w:val="16"/>
        </w:rPr>
      </w:pPr>
    </w:p>
    <w:p w:rsidR="00BA13A9" w:rsidRPr="00A65E43" w:rsidRDefault="00BA13A9" w:rsidP="00A65E43">
      <w:pPr>
        <w:pStyle w:val="Heading3"/>
      </w:pPr>
      <w:bookmarkStart w:id="49" w:name="_Toc500312462"/>
      <w:r w:rsidRPr="00A65E43">
        <w:t>Recommended paediatric nursing texts include</w:t>
      </w:r>
      <w:bookmarkEnd w:id="49"/>
    </w:p>
    <w:p w:rsidR="00BA13A9" w:rsidRPr="0040620E" w:rsidRDefault="00BA13A9" w:rsidP="00E0693A">
      <w:pPr>
        <w:pStyle w:val="ListParagraph"/>
        <w:numPr>
          <w:ilvl w:val="0"/>
          <w:numId w:val="17"/>
        </w:numPr>
        <w:spacing w:before="0"/>
        <w:ind w:left="357" w:right="170" w:hanging="357"/>
        <w:contextualSpacing w:val="0"/>
        <w:jc w:val="both"/>
        <w:rPr>
          <w:rFonts w:ascii="Verdana" w:hAnsi="Verdana" w:cs="Arial"/>
          <w:sz w:val="20"/>
        </w:rPr>
      </w:pPr>
      <w:r w:rsidRPr="0040620E">
        <w:rPr>
          <w:rFonts w:ascii="Verdana" w:hAnsi="Verdana" w:cs="Arial"/>
          <w:sz w:val="20"/>
        </w:rPr>
        <w:t>Engel, J. (2006). Pocket guide to paediatric assessment (5th edition). St Louis: Mosby.</w:t>
      </w:r>
    </w:p>
    <w:p w:rsidR="00BA13A9" w:rsidRPr="0040620E" w:rsidRDefault="00BA13A9" w:rsidP="00E0693A">
      <w:pPr>
        <w:pStyle w:val="ListParagraph"/>
        <w:numPr>
          <w:ilvl w:val="0"/>
          <w:numId w:val="17"/>
        </w:numPr>
        <w:spacing w:before="0"/>
        <w:ind w:left="357" w:right="170" w:hanging="357"/>
        <w:contextualSpacing w:val="0"/>
        <w:jc w:val="both"/>
        <w:rPr>
          <w:rFonts w:ascii="Verdana" w:hAnsi="Verdana" w:cs="Arial"/>
          <w:sz w:val="20"/>
        </w:rPr>
      </w:pPr>
      <w:r w:rsidRPr="0040620E">
        <w:rPr>
          <w:rFonts w:ascii="Verdana" w:hAnsi="Verdana" w:cs="Arial"/>
          <w:sz w:val="20"/>
        </w:rPr>
        <w:t>Ho</w:t>
      </w:r>
      <w:r w:rsidR="0040620E" w:rsidRPr="0040620E">
        <w:rPr>
          <w:rFonts w:ascii="Verdana" w:hAnsi="Verdana" w:cs="Arial"/>
          <w:sz w:val="20"/>
        </w:rPr>
        <w:t>ckenberry, M. &amp; Wilson, D. (2014</w:t>
      </w:r>
      <w:r w:rsidR="0040620E">
        <w:rPr>
          <w:rFonts w:ascii="Verdana" w:hAnsi="Verdana" w:cs="Arial"/>
          <w:sz w:val="20"/>
        </w:rPr>
        <w:t xml:space="preserve">). </w:t>
      </w:r>
      <w:r w:rsidRPr="0040620E">
        <w:rPr>
          <w:rFonts w:ascii="Verdana" w:hAnsi="Verdana" w:cs="Arial"/>
          <w:sz w:val="20"/>
        </w:rPr>
        <w:t>Wong’s nursing care of infants and ch</w:t>
      </w:r>
      <w:r w:rsidR="0040620E" w:rsidRPr="0040620E">
        <w:rPr>
          <w:rFonts w:ascii="Verdana" w:hAnsi="Verdana" w:cs="Arial"/>
          <w:sz w:val="20"/>
        </w:rPr>
        <w:t>ildren (10t</w:t>
      </w:r>
      <w:r w:rsidR="00E0693A" w:rsidRPr="0040620E">
        <w:rPr>
          <w:rFonts w:ascii="Verdana" w:hAnsi="Verdana" w:cs="Arial"/>
          <w:sz w:val="20"/>
        </w:rPr>
        <w:t xml:space="preserve">h Edition). St Louis: </w:t>
      </w:r>
      <w:r w:rsidRPr="0040620E">
        <w:rPr>
          <w:rFonts w:ascii="Verdana" w:hAnsi="Verdana" w:cs="Arial"/>
          <w:sz w:val="20"/>
        </w:rPr>
        <w:t>Mosby.</w:t>
      </w:r>
    </w:p>
    <w:p w:rsidR="00BA13A9" w:rsidRPr="008104C9" w:rsidRDefault="00BA13A9" w:rsidP="00A65E43">
      <w:pPr>
        <w:pStyle w:val="ListParagraph"/>
        <w:numPr>
          <w:ilvl w:val="0"/>
          <w:numId w:val="17"/>
        </w:numPr>
        <w:spacing w:before="0" w:after="120"/>
        <w:ind w:left="357" w:right="170" w:hanging="357"/>
        <w:contextualSpacing w:val="0"/>
        <w:jc w:val="both"/>
        <w:rPr>
          <w:rFonts w:ascii="Verdana" w:hAnsi="Verdana" w:cs="Arial"/>
          <w:sz w:val="20"/>
        </w:rPr>
      </w:pPr>
      <w:r w:rsidRPr="008104C9">
        <w:rPr>
          <w:rFonts w:ascii="Verdana" w:hAnsi="Verdana" w:cs="Arial"/>
          <w:sz w:val="20"/>
        </w:rPr>
        <w:t>Sheridan, M. (2008). From birth to five years. Children’s developmental progress. (3rd Edition). Revised and updated by A. Sharma &amp; H. Cockerill. New York: Routledge.</w:t>
      </w:r>
    </w:p>
    <w:p w:rsidR="0026194B" w:rsidRPr="00D7099A" w:rsidRDefault="0026194B" w:rsidP="00A65E43">
      <w:pPr>
        <w:pStyle w:val="Heading3"/>
      </w:pPr>
      <w:bookmarkStart w:id="50" w:name="_Toc500312463"/>
      <w:r w:rsidRPr="00D7099A">
        <w:t xml:space="preserve">National Safety </w:t>
      </w:r>
      <w:r w:rsidR="00E0693A">
        <w:t>&amp;</w:t>
      </w:r>
      <w:r w:rsidRPr="00D7099A">
        <w:t xml:space="preserve"> Quality Health Service Standards</w:t>
      </w:r>
      <w:bookmarkEnd w:id="50"/>
    </w:p>
    <w:p w:rsidR="0026194B" w:rsidRPr="00D7099A" w:rsidRDefault="008104C9" w:rsidP="008E12D4">
      <w:pPr>
        <w:spacing w:after="120"/>
        <w:jc w:val="both"/>
      </w:pPr>
      <w:r>
        <w:t>The eight (8)</w:t>
      </w:r>
      <w:r w:rsidR="0026194B" w:rsidRPr="00D7099A">
        <w:t xml:space="preserve"> National Safety &amp; Quality Health Service Standards were developed by the Australian Commission Safety &amp; Quality in Health Care and provide a nationally consistent set of measures of safety and quality</w:t>
      </w:r>
      <w:r w:rsidR="00E0693A">
        <w:t xml:space="preserve"> for health care services. </w:t>
      </w:r>
      <w:r w:rsidR="0026194B" w:rsidRPr="00D7099A">
        <w:t>The primary aims of the standard are to:</w:t>
      </w:r>
    </w:p>
    <w:p w:rsidR="0026194B" w:rsidRPr="00D7099A" w:rsidRDefault="0026194B" w:rsidP="008E12D4">
      <w:pPr>
        <w:pStyle w:val="ListParagraph"/>
        <w:numPr>
          <w:ilvl w:val="0"/>
          <w:numId w:val="10"/>
        </w:numPr>
        <w:spacing w:before="0"/>
        <w:ind w:left="714" w:hanging="357"/>
        <w:contextualSpacing w:val="0"/>
        <w:jc w:val="both"/>
        <w:rPr>
          <w:rFonts w:ascii="Verdana" w:hAnsi="Verdana"/>
          <w:sz w:val="20"/>
          <w:szCs w:val="20"/>
        </w:rPr>
      </w:pPr>
      <w:r w:rsidRPr="00D7099A">
        <w:rPr>
          <w:rFonts w:ascii="Verdana" w:hAnsi="Verdana"/>
          <w:sz w:val="20"/>
          <w:szCs w:val="20"/>
        </w:rPr>
        <w:t>Protect the public from harm</w:t>
      </w:r>
    </w:p>
    <w:p w:rsidR="0026194B" w:rsidRPr="00E0693A" w:rsidRDefault="0026194B" w:rsidP="008E12D4">
      <w:pPr>
        <w:pStyle w:val="ListParagraph"/>
        <w:numPr>
          <w:ilvl w:val="0"/>
          <w:numId w:val="10"/>
        </w:numPr>
        <w:spacing w:before="0" w:after="120"/>
        <w:contextualSpacing w:val="0"/>
        <w:jc w:val="both"/>
        <w:rPr>
          <w:rFonts w:ascii="Verdana" w:hAnsi="Verdana"/>
          <w:sz w:val="20"/>
          <w:szCs w:val="20"/>
        </w:rPr>
      </w:pPr>
      <w:r w:rsidRPr="00D7099A">
        <w:rPr>
          <w:rFonts w:ascii="Verdana" w:hAnsi="Verdana"/>
          <w:sz w:val="20"/>
          <w:szCs w:val="20"/>
        </w:rPr>
        <w:t>Improve the quality of health service provision</w:t>
      </w:r>
    </w:p>
    <w:p w:rsidR="0026194B" w:rsidRPr="00D7099A" w:rsidRDefault="0026194B" w:rsidP="008E12D4">
      <w:pPr>
        <w:spacing w:after="120"/>
        <w:jc w:val="both"/>
      </w:pPr>
      <w:r w:rsidRPr="00D7099A">
        <w:t xml:space="preserve">The standards are a part of the Australian Health services Safety &amp; Quality Accreditation Scheme and the Royal Children’s Hospital (RCH) utilizes the standards as part of the internal quality assurance mechanisms as well as external accreditation.   </w:t>
      </w:r>
    </w:p>
    <w:p w:rsidR="0026194B" w:rsidRPr="00D7099A" w:rsidRDefault="008104C9" w:rsidP="008104C9">
      <w:pPr>
        <w:spacing w:after="120"/>
        <w:jc w:val="both"/>
        <w:rPr>
          <w:b/>
        </w:rPr>
      </w:pPr>
      <w:r>
        <w:t>The eight</w:t>
      </w:r>
      <w:r w:rsidR="0026194B" w:rsidRPr="00D7099A">
        <w:t xml:space="preserve"> standards are listed in the table below along with the c</w:t>
      </w:r>
      <w:r w:rsidR="008E12D4">
        <w:t>orresponding nursing competency</w:t>
      </w:r>
      <w:r w:rsidR="0026194B" w:rsidRPr="00D7099A">
        <w:t>(s).  Achievement of competency provides evidence that a nurse is aware of systems and processes, has read the relevant policies, procedures, as well as utilizing the knowledge and skill to</w:t>
      </w:r>
      <w:r w:rsidR="008E12D4">
        <w:t xml:space="preserve"> provide safe, quality care. </w:t>
      </w:r>
      <w:r w:rsidR="0026194B" w:rsidRPr="00D7099A">
        <w:t xml:space="preserve">This is not an exhaustive list and nurses will also be required to participate in hospital wide and local teaching sessions and education campaigns during the year.   Further information about the Commission and the Standards can be found at </w:t>
      </w:r>
      <w:hyperlink r:id="rId27" w:history="1">
        <w:r w:rsidR="0026194B" w:rsidRPr="00D7099A">
          <w:rPr>
            <w:rStyle w:val="Hyperlink"/>
            <w:color w:val="auto"/>
          </w:rPr>
          <w:t>http://www.achs.org.au/</w:t>
        </w:r>
      </w:hyperlink>
      <w:r w:rsidR="008E12D4">
        <w:t>.</w:t>
      </w:r>
    </w:p>
    <w:tbl>
      <w:tblPr>
        <w:tblStyle w:val="TableGrid"/>
        <w:tblW w:w="0" w:type="auto"/>
        <w:tblLook w:val="04A0" w:firstRow="1" w:lastRow="0" w:firstColumn="1" w:lastColumn="0" w:noHBand="0" w:noVBand="1"/>
      </w:tblPr>
      <w:tblGrid>
        <w:gridCol w:w="530"/>
        <w:gridCol w:w="4148"/>
        <w:gridCol w:w="5969"/>
      </w:tblGrid>
      <w:tr w:rsidR="0026194B" w:rsidRPr="00D7099A" w:rsidTr="008104C9">
        <w:tc>
          <w:tcPr>
            <w:tcW w:w="530" w:type="dxa"/>
            <w:tcBorders>
              <w:top w:val="nil"/>
              <w:left w:val="nil"/>
            </w:tcBorders>
            <w:tcMar>
              <w:top w:w="28" w:type="dxa"/>
              <w:bottom w:w="28" w:type="dxa"/>
            </w:tcMar>
            <w:vAlign w:val="center"/>
          </w:tcPr>
          <w:p w:rsidR="0026194B" w:rsidRPr="00D7099A" w:rsidRDefault="0026194B" w:rsidP="008E12D4">
            <w:pPr>
              <w:rPr>
                <w:b/>
              </w:rPr>
            </w:pPr>
          </w:p>
        </w:tc>
        <w:tc>
          <w:tcPr>
            <w:tcW w:w="4148" w:type="dxa"/>
            <w:tcMar>
              <w:top w:w="28" w:type="dxa"/>
              <w:bottom w:w="28" w:type="dxa"/>
            </w:tcMar>
            <w:vAlign w:val="center"/>
          </w:tcPr>
          <w:p w:rsidR="0026194B" w:rsidRPr="00D7099A" w:rsidRDefault="0026194B" w:rsidP="008E12D4">
            <w:pPr>
              <w:rPr>
                <w:b/>
              </w:rPr>
            </w:pPr>
            <w:r w:rsidRPr="00D7099A">
              <w:rPr>
                <w:b/>
              </w:rPr>
              <w:t>NSQHS Standard</w:t>
            </w:r>
          </w:p>
        </w:tc>
        <w:tc>
          <w:tcPr>
            <w:tcW w:w="5969" w:type="dxa"/>
            <w:tcMar>
              <w:top w:w="28" w:type="dxa"/>
              <w:bottom w:w="28" w:type="dxa"/>
            </w:tcMar>
            <w:vAlign w:val="center"/>
          </w:tcPr>
          <w:p w:rsidR="0026194B" w:rsidRPr="00D7099A" w:rsidRDefault="0026194B" w:rsidP="008E12D4">
            <w:pPr>
              <w:rPr>
                <w:b/>
              </w:rPr>
            </w:pPr>
            <w:r w:rsidRPr="00D7099A">
              <w:rPr>
                <w:b/>
              </w:rPr>
              <w:t>Nursing Competency</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8104C9" w:rsidP="008E12D4">
            <w:r>
              <w:t>Clinical Governance</w:t>
            </w:r>
          </w:p>
        </w:tc>
        <w:tc>
          <w:tcPr>
            <w:tcW w:w="5969" w:type="dxa"/>
            <w:tcMar>
              <w:top w:w="28" w:type="dxa"/>
              <w:bottom w:w="28" w:type="dxa"/>
            </w:tcMar>
            <w:vAlign w:val="center"/>
          </w:tcPr>
          <w:p w:rsidR="0026194B" w:rsidRPr="00D7099A" w:rsidRDefault="0026194B" w:rsidP="008E12D4">
            <w:r w:rsidRPr="00D7099A">
              <w:t xml:space="preserve">Essential Policies &amp; Procedures Competency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26194B" w:rsidP="008E12D4">
            <w:r w:rsidRPr="00D7099A">
              <w:t>Partnering with Consumers</w:t>
            </w:r>
          </w:p>
        </w:tc>
        <w:tc>
          <w:tcPr>
            <w:tcW w:w="5969" w:type="dxa"/>
            <w:tcMar>
              <w:top w:w="28" w:type="dxa"/>
              <w:bottom w:w="28" w:type="dxa"/>
            </w:tcMar>
            <w:vAlign w:val="center"/>
          </w:tcPr>
          <w:p w:rsidR="0026194B" w:rsidRPr="00D7099A" w:rsidRDefault="0026194B" w:rsidP="008E12D4">
            <w:r w:rsidRPr="00D7099A">
              <w:t xml:space="preserve">Family Centred Care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26194B" w:rsidP="008E12D4">
            <w:r w:rsidRPr="00D7099A">
              <w:t>Preventing &amp; Controlling Healthcare Associated Infections</w:t>
            </w:r>
          </w:p>
        </w:tc>
        <w:tc>
          <w:tcPr>
            <w:tcW w:w="5969" w:type="dxa"/>
            <w:tcMar>
              <w:top w:w="28" w:type="dxa"/>
              <w:bottom w:w="28" w:type="dxa"/>
            </w:tcMar>
            <w:vAlign w:val="center"/>
          </w:tcPr>
          <w:p w:rsidR="0026194B" w:rsidRPr="00D7099A" w:rsidRDefault="0026194B" w:rsidP="008E12D4">
            <w:r w:rsidRPr="00D7099A">
              <w:t xml:space="preserve">Infection Prevention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26194B" w:rsidP="008E12D4">
            <w:r w:rsidRPr="00D7099A">
              <w:t>Medication Safety</w:t>
            </w:r>
          </w:p>
        </w:tc>
        <w:tc>
          <w:tcPr>
            <w:tcW w:w="5969" w:type="dxa"/>
            <w:tcMar>
              <w:top w:w="28" w:type="dxa"/>
              <w:bottom w:w="28" w:type="dxa"/>
            </w:tcMar>
            <w:vAlign w:val="center"/>
          </w:tcPr>
          <w:p w:rsidR="0026194B" w:rsidRPr="00D7099A" w:rsidRDefault="0026194B" w:rsidP="008E12D4">
            <w:r w:rsidRPr="00D7099A">
              <w:t xml:space="preserve">Medication Administration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8104C9" w:rsidP="008E12D4">
            <w:r>
              <w:t>Comprehensive Care</w:t>
            </w:r>
          </w:p>
        </w:tc>
        <w:tc>
          <w:tcPr>
            <w:tcW w:w="5969" w:type="dxa"/>
            <w:tcMar>
              <w:top w:w="28" w:type="dxa"/>
              <w:bottom w:w="28" w:type="dxa"/>
            </w:tcMar>
            <w:vAlign w:val="center"/>
          </w:tcPr>
          <w:p w:rsidR="008104C9" w:rsidRDefault="0026194B" w:rsidP="008104C9">
            <w:r w:rsidRPr="00D7099A">
              <w:t>Consent</w:t>
            </w:r>
            <w:r w:rsidR="008104C9">
              <w:t xml:space="preserve">, </w:t>
            </w:r>
            <w:r w:rsidRPr="00D7099A">
              <w:t>Risk Screening &amp; Management</w:t>
            </w:r>
            <w:r w:rsidR="008104C9" w:rsidRPr="00D7099A">
              <w:t xml:space="preserve"> </w:t>
            </w:r>
          </w:p>
          <w:p w:rsidR="0026194B" w:rsidRPr="00D7099A" w:rsidRDefault="008104C9" w:rsidP="008104C9">
            <w:r w:rsidRPr="00D7099A">
              <w:t>Skin Integrity</w:t>
            </w:r>
            <w:r>
              <w:t xml:space="preserve">, </w:t>
            </w:r>
            <w:r w:rsidRPr="00D7099A">
              <w:t>Documentation, Infection Prevention</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8104C9" w:rsidP="008E12D4">
            <w:r>
              <w:t>Communicating for Safety</w:t>
            </w:r>
          </w:p>
        </w:tc>
        <w:tc>
          <w:tcPr>
            <w:tcW w:w="5969" w:type="dxa"/>
            <w:tcMar>
              <w:top w:w="28" w:type="dxa"/>
              <w:bottom w:w="28" w:type="dxa"/>
            </w:tcMar>
            <w:vAlign w:val="center"/>
          </w:tcPr>
          <w:p w:rsidR="0026194B" w:rsidRPr="00D7099A" w:rsidRDefault="008104C9" w:rsidP="008E12D4">
            <w:r>
              <w:t>Admission</w:t>
            </w:r>
            <w:r w:rsidR="0026194B" w:rsidRPr="00D7099A">
              <w:t xml:space="preserve">, Discharge, Documentation, </w:t>
            </w:r>
            <w:r>
              <w:t xml:space="preserve">Patient Transfer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8104C9" w:rsidP="008E12D4">
            <w:r>
              <w:t>Blood Management</w:t>
            </w:r>
          </w:p>
        </w:tc>
        <w:tc>
          <w:tcPr>
            <w:tcW w:w="5969" w:type="dxa"/>
            <w:tcMar>
              <w:top w:w="28" w:type="dxa"/>
              <w:bottom w:w="28" w:type="dxa"/>
            </w:tcMar>
            <w:vAlign w:val="center"/>
          </w:tcPr>
          <w:p w:rsidR="0026194B" w:rsidRPr="00D7099A" w:rsidRDefault="0026194B" w:rsidP="008104C9">
            <w:r w:rsidRPr="00D7099A">
              <w:t xml:space="preserve">Consent </w:t>
            </w:r>
            <w:r w:rsidR="008104C9">
              <w:t xml:space="preserve"> &amp; </w:t>
            </w:r>
            <w:r w:rsidRPr="00D7099A">
              <w:t xml:space="preserve">Transfusion Management </w:t>
            </w:r>
          </w:p>
        </w:tc>
      </w:tr>
      <w:tr w:rsidR="0026194B" w:rsidRPr="00D7099A" w:rsidTr="008104C9">
        <w:tc>
          <w:tcPr>
            <w:tcW w:w="530" w:type="dxa"/>
            <w:tcMar>
              <w:top w:w="28" w:type="dxa"/>
              <w:bottom w:w="28" w:type="dxa"/>
            </w:tcMar>
            <w:vAlign w:val="center"/>
          </w:tcPr>
          <w:p w:rsidR="0026194B" w:rsidRPr="00D7099A" w:rsidRDefault="0026194B" w:rsidP="008E12D4">
            <w:pPr>
              <w:pStyle w:val="ListParagraph"/>
              <w:numPr>
                <w:ilvl w:val="0"/>
                <w:numId w:val="9"/>
              </w:numPr>
              <w:spacing w:before="0"/>
              <w:rPr>
                <w:rFonts w:ascii="Verdana" w:hAnsi="Verdana"/>
                <w:sz w:val="20"/>
                <w:szCs w:val="20"/>
              </w:rPr>
            </w:pPr>
          </w:p>
        </w:tc>
        <w:tc>
          <w:tcPr>
            <w:tcW w:w="4148" w:type="dxa"/>
            <w:tcMar>
              <w:top w:w="28" w:type="dxa"/>
              <w:bottom w:w="28" w:type="dxa"/>
            </w:tcMar>
            <w:vAlign w:val="center"/>
          </w:tcPr>
          <w:p w:rsidR="0026194B" w:rsidRPr="00D7099A" w:rsidRDefault="0026194B" w:rsidP="008E12D4">
            <w:r w:rsidRPr="00D7099A">
              <w:t>Recognising &amp; Responding &amp; Clinical Deteriorating in Acute Health Care</w:t>
            </w:r>
          </w:p>
        </w:tc>
        <w:tc>
          <w:tcPr>
            <w:tcW w:w="5969" w:type="dxa"/>
            <w:tcMar>
              <w:top w:w="28" w:type="dxa"/>
              <w:bottom w:w="28" w:type="dxa"/>
            </w:tcMar>
            <w:vAlign w:val="center"/>
          </w:tcPr>
          <w:p w:rsidR="0026194B" w:rsidRPr="00D7099A" w:rsidRDefault="0026194B" w:rsidP="008E12D4">
            <w:r w:rsidRPr="00D7099A">
              <w:t xml:space="preserve">Primary &amp; Secondary Survey (recognition of the unwell child) </w:t>
            </w:r>
          </w:p>
        </w:tc>
      </w:tr>
    </w:tbl>
    <w:p w:rsidR="00D24982" w:rsidRPr="00924B01" w:rsidRDefault="00D24982" w:rsidP="00A65E43">
      <w:pPr>
        <w:pStyle w:val="Heading2"/>
        <w:spacing w:before="120"/>
      </w:pPr>
      <w:bookmarkStart w:id="51" w:name="_Toc274136438"/>
      <w:bookmarkStart w:id="52" w:name="_Toc346092328"/>
      <w:bookmarkStart w:id="53" w:name="_Toc500312464"/>
      <w:bookmarkStart w:id="54" w:name="_Toc199910030"/>
      <w:bookmarkStart w:id="55" w:name="_Toc199916383"/>
      <w:bookmarkStart w:id="56" w:name="_Toc199921360"/>
      <w:bookmarkStart w:id="57" w:name="_Toc199922010"/>
      <w:bookmarkStart w:id="58" w:name="_Toc202168725"/>
      <w:bookmarkStart w:id="59" w:name="_Toc203960266"/>
      <w:bookmarkEnd w:id="48"/>
      <w:r w:rsidRPr="00924B01">
        <w:t>An Overview of Key Clinical Areas</w:t>
      </w:r>
      <w:bookmarkEnd w:id="51"/>
      <w:bookmarkEnd w:id="52"/>
      <w:bookmarkEnd w:id="53"/>
      <w:r w:rsidRPr="00924B01">
        <w:t xml:space="preserve"> </w:t>
      </w:r>
      <w:bookmarkEnd w:id="54"/>
      <w:bookmarkEnd w:id="55"/>
      <w:bookmarkEnd w:id="56"/>
      <w:bookmarkEnd w:id="57"/>
      <w:bookmarkEnd w:id="58"/>
      <w:bookmarkEnd w:id="59"/>
    </w:p>
    <w:p w:rsidR="00D24982" w:rsidRPr="00924B01" w:rsidRDefault="00D24982" w:rsidP="008E12D4">
      <w:pPr>
        <w:numPr>
          <w:ilvl w:val="12"/>
          <w:numId w:val="0"/>
        </w:numPr>
        <w:jc w:val="both"/>
        <w:rPr>
          <w:rFonts w:cs="Arial"/>
        </w:rPr>
      </w:pPr>
      <w:r w:rsidRPr="00924B01">
        <w:rPr>
          <w:rFonts w:cs="Arial"/>
        </w:rPr>
        <w:t>The RCH consists of three key buildings; the North, East, and West buildings.  Some of the key clinical areas include:</w:t>
      </w:r>
    </w:p>
    <w:p w:rsidR="00D24982" w:rsidRPr="00924B01" w:rsidRDefault="00D24982" w:rsidP="00A65E43">
      <w:pPr>
        <w:pStyle w:val="Heading3"/>
      </w:pPr>
      <w:bookmarkStart w:id="60" w:name="_Toc500312465"/>
      <w:r w:rsidRPr="00924B01">
        <w:t>North building</w:t>
      </w:r>
      <w:bookmarkEnd w:id="60"/>
    </w:p>
    <w:p w:rsidR="00D24982" w:rsidRPr="00924B01" w:rsidRDefault="00D24982" w:rsidP="008E12D4">
      <w:pPr>
        <w:pStyle w:val="Heading3a"/>
        <w:spacing w:line="240" w:lineRule="auto"/>
        <w:contextualSpacing w:val="0"/>
        <w:jc w:val="both"/>
        <w:rPr>
          <w:rFonts w:ascii="Verdana" w:hAnsi="Verdana"/>
          <w:b w:val="0"/>
          <w:sz w:val="20"/>
          <w:szCs w:val="20"/>
        </w:rPr>
      </w:pPr>
      <w:r w:rsidRPr="00924B01">
        <w:rPr>
          <w:rFonts w:ascii="Verdana" w:hAnsi="Verdana"/>
          <w:sz w:val="20"/>
          <w:szCs w:val="20"/>
        </w:rPr>
        <w:t>5</w:t>
      </w:r>
      <w:r w:rsidRPr="00924B01">
        <w:rPr>
          <w:rFonts w:ascii="Verdana" w:hAnsi="Verdana"/>
          <w:sz w:val="20"/>
          <w:szCs w:val="20"/>
          <w:vertAlign w:val="superscript"/>
        </w:rPr>
        <w:t>th</w:t>
      </w:r>
      <w:r w:rsidRPr="00924B01">
        <w:rPr>
          <w:rFonts w:ascii="Verdana" w:hAnsi="Verdana"/>
          <w:sz w:val="20"/>
          <w:szCs w:val="20"/>
        </w:rPr>
        <w:t xml:space="preserve"> floor, north building: Butterfly – Newborn Intensive Care </w:t>
      </w:r>
    </w:p>
    <w:p w:rsidR="00D24982" w:rsidRPr="00924B01" w:rsidRDefault="00D24982" w:rsidP="008E12D4">
      <w:pPr>
        <w:jc w:val="both"/>
        <w:rPr>
          <w:rFonts w:cs="Arial"/>
          <w:b/>
        </w:rPr>
      </w:pPr>
      <w:r w:rsidRPr="00924B01">
        <w:rPr>
          <w:rFonts w:cs="Arial"/>
        </w:rPr>
        <w:t xml:space="preserve">The Newborn Intensive Care Unit at the Royal Children’s Hospital is a </w:t>
      </w:r>
      <w:r w:rsidR="00924B01" w:rsidRPr="00924B01">
        <w:rPr>
          <w:rFonts w:cs="Arial"/>
        </w:rPr>
        <w:t xml:space="preserve">35 </w:t>
      </w:r>
      <w:r w:rsidR="00924B01">
        <w:rPr>
          <w:rFonts w:cs="Arial"/>
        </w:rPr>
        <w:t>bed, ‘Level 4 Neonatal Unit’</w:t>
      </w:r>
      <w:r w:rsidRPr="00924B01">
        <w:rPr>
          <w:rFonts w:cs="Arial"/>
        </w:rPr>
        <w:t xml:space="preserve"> with approximately 550 admissions per year. Our patients are referred from level 3 perinatal centres both in Melbourne and interstate; maternity hospitals throughout Victoria, southern New South Wales and Tasmania; and our Emergency Department.</w:t>
      </w:r>
    </w:p>
    <w:p w:rsidR="00C14EA2" w:rsidRPr="001B7AC6" w:rsidRDefault="00C14EA2" w:rsidP="00C14EA2">
      <w:pPr>
        <w:pStyle w:val="Heading3a"/>
        <w:spacing w:before="120" w:line="240" w:lineRule="auto"/>
        <w:contextualSpacing w:val="0"/>
        <w:jc w:val="both"/>
        <w:rPr>
          <w:rFonts w:ascii="Verdana" w:hAnsi="Verdana"/>
          <w:b w:val="0"/>
          <w:sz w:val="20"/>
          <w:szCs w:val="20"/>
        </w:rPr>
      </w:pPr>
      <w:r w:rsidRPr="001B7AC6">
        <w:rPr>
          <w:rFonts w:ascii="Verdana" w:hAnsi="Verdana"/>
          <w:sz w:val="20"/>
          <w:szCs w:val="20"/>
        </w:rPr>
        <w:t>5</w:t>
      </w:r>
      <w:r w:rsidRPr="001B7AC6">
        <w:rPr>
          <w:rFonts w:ascii="Verdana" w:hAnsi="Verdana"/>
          <w:sz w:val="20"/>
          <w:szCs w:val="20"/>
          <w:vertAlign w:val="superscript"/>
        </w:rPr>
        <w:t>th</w:t>
      </w:r>
      <w:r w:rsidRPr="001B7AC6">
        <w:rPr>
          <w:rFonts w:ascii="Verdana" w:hAnsi="Verdana"/>
          <w:sz w:val="20"/>
          <w:szCs w:val="20"/>
        </w:rPr>
        <w:t xml:space="preserve"> floor: Wallaby Ward</w:t>
      </w:r>
    </w:p>
    <w:p w:rsidR="001B7AC6" w:rsidRPr="001B7AC6" w:rsidRDefault="001B7AC6" w:rsidP="003B59A9">
      <w:pPr>
        <w:pStyle w:val="NormalWeb"/>
        <w:shd w:val="clear" w:color="auto" w:fill="FFFFFF"/>
        <w:spacing w:before="0" w:beforeAutospacing="0" w:after="135" w:afterAutospacing="0"/>
        <w:jc w:val="both"/>
        <w:rPr>
          <w:rFonts w:ascii="Verdana" w:hAnsi="Verdana" w:cs="Arial"/>
          <w:color w:val="000000" w:themeColor="text1"/>
        </w:rPr>
      </w:pPr>
      <w:r w:rsidRPr="001B7AC6">
        <w:rPr>
          <w:rFonts w:ascii="Verdana" w:hAnsi="Verdana" w:cs="Arial"/>
          <w:color w:val="000000" w:themeColor="text1"/>
          <w:szCs w:val="20"/>
        </w:rPr>
        <w:t xml:space="preserve">Wallaby is a 32 bed ward, in which medically stable children requiring daily/twice daily acute care interventions can complete their admission at home. Wallaby provides a Victoria-wide service. Staff can provide care for children within a 40 km radius of Melbourne (depending on availability and scope). Children outside our catchment may have their care outsourced to regional providers but are still regarded as a Wallaby Ward inpatient. </w:t>
      </w:r>
      <w:r w:rsidRPr="001B7AC6">
        <w:rPr>
          <w:rFonts w:ascii="Verdana" w:hAnsi="Verdana" w:cs="Arial"/>
          <w:color w:val="000000" w:themeColor="text1"/>
        </w:rPr>
        <w:t>The office area is located in the area adjacent to the green lifts.</w:t>
      </w:r>
    </w:p>
    <w:p w:rsidR="00D24982" w:rsidRPr="00924B01"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4</w:t>
      </w:r>
      <w:r w:rsidRPr="00924B01">
        <w:rPr>
          <w:rFonts w:ascii="Verdana" w:hAnsi="Verdana"/>
          <w:sz w:val="20"/>
          <w:szCs w:val="20"/>
          <w:vertAlign w:val="superscript"/>
        </w:rPr>
        <w:t>th</w:t>
      </w:r>
      <w:r w:rsidRPr="00924B01">
        <w:rPr>
          <w:rFonts w:ascii="Verdana" w:hAnsi="Verdana"/>
          <w:sz w:val="20"/>
          <w:szCs w:val="20"/>
        </w:rPr>
        <w:t xml:space="preserve"> floor, north building: Cockatoo – Surgical </w:t>
      </w:r>
      <w:r w:rsidR="008E12D4" w:rsidRPr="00924B01">
        <w:rPr>
          <w:rFonts w:ascii="Verdana" w:hAnsi="Verdana"/>
          <w:sz w:val="20"/>
          <w:szCs w:val="20"/>
        </w:rPr>
        <w:t>&amp;</w:t>
      </w:r>
      <w:r w:rsidRPr="00924B01">
        <w:rPr>
          <w:rFonts w:ascii="Verdana" w:hAnsi="Verdana"/>
          <w:sz w:val="20"/>
          <w:szCs w:val="20"/>
        </w:rPr>
        <w:t xml:space="preserve"> Neuro Care</w:t>
      </w:r>
    </w:p>
    <w:p w:rsidR="00D24982" w:rsidRPr="00924B01" w:rsidRDefault="00D24982" w:rsidP="008E12D4">
      <w:pPr>
        <w:jc w:val="both"/>
        <w:rPr>
          <w:rFonts w:cs="Arial"/>
        </w:rPr>
      </w:pPr>
      <w:r w:rsidRPr="00924B01">
        <w:rPr>
          <w:rFonts w:cs="Arial"/>
        </w:rPr>
        <w:t>The Cockatoo ward</w:t>
      </w:r>
      <w:r w:rsidR="00924B01" w:rsidRPr="00924B01">
        <w:rPr>
          <w:rFonts w:cs="Arial"/>
        </w:rPr>
        <w:t xml:space="preserve"> (30 bed)</w:t>
      </w:r>
      <w:r w:rsidRPr="00924B01">
        <w:rPr>
          <w:rFonts w:cs="Arial"/>
        </w:rPr>
        <w:t xml:space="preserve"> provides expert, clinical care to patients and families in a supportive, interdisciplinary, family centred care environment. Cockatoo ward cares for patients aged from infancy to adolescence from Victoria, Australia and internationally. The clinical staff provide comprehensive care to patients with neurological, neurosurgical, metabolic, endocrine and complex gastroenterology and hepatology conditions.  </w:t>
      </w:r>
    </w:p>
    <w:p w:rsidR="00D24982" w:rsidRPr="00924B01" w:rsidDel="005D51D6"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4</w:t>
      </w:r>
      <w:r w:rsidRPr="00924B01">
        <w:rPr>
          <w:rFonts w:ascii="Verdana" w:hAnsi="Verdana"/>
          <w:sz w:val="20"/>
          <w:szCs w:val="20"/>
          <w:vertAlign w:val="superscript"/>
        </w:rPr>
        <w:t>th</w:t>
      </w:r>
      <w:r w:rsidRPr="00924B01">
        <w:rPr>
          <w:rFonts w:ascii="Verdana" w:hAnsi="Verdana"/>
          <w:sz w:val="20"/>
          <w:szCs w:val="20"/>
        </w:rPr>
        <w:t xml:space="preserve"> floor, north building: Platypus – Surgical Care</w:t>
      </w:r>
    </w:p>
    <w:p w:rsidR="00D24982" w:rsidRPr="00924B01" w:rsidRDefault="00924B01" w:rsidP="008E12D4">
      <w:pPr>
        <w:jc w:val="both"/>
        <w:rPr>
          <w:rFonts w:cs="Arial"/>
          <w:b/>
        </w:rPr>
      </w:pPr>
      <w:r>
        <w:rPr>
          <w:rFonts w:cs="Arial"/>
          <w:iCs/>
        </w:rPr>
        <w:t>The Platypus ward is a 30</w:t>
      </w:r>
      <w:r w:rsidR="00D24982" w:rsidRPr="00924B01">
        <w:rPr>
          <w:rFonts w:cs="Arial"/>
          <w:iCs/>
        </w:rPr>
        <w:t xml:space="preserve"> bed specialty surgical unit, caring for patients undergoing general surgery, orthopaedic, plastic, urology and maxillofacial procedures. It is also the dedicated burns and trauma unit at RCH. Services are provided with an interdisciplinary team approach through all aspects of treatment. Platypus ward treats more than 3000 patients a year and patient ages range from newborn to teenagers.</w:t>
      </w:r>
    </w:p>
    <w:p w:rsidR="00D24982" w:rsidRPr="00924B01"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3</w:t>
      </w:r>
      <w:r w:rsidRPr="00924B01">
        <w:rPr>
          <w:rFonts w:ascii="Verdana" w:hAnsi="Verdana"/>
          <w:sz w:val="20"/>
          <w:szCs w:val="20"/>
          <w:vertAlign w:val="superscript"/>
        </w:rPr>
        <w:t>rd</w:t>
      </w:r>
      <w:r w:rsidRPr="00924B01">
        <w:rPr>
          <w:rFonts w:ascii="Verdana" w:hAnsi="Verdana"/>
          <w:sz w:val="20"/>
          <w:szCs w:val="20"/>
        </w:rPr>
        <w:t xml:space="preserve"> floor, north building: Rosella – Intensive Care </w:t>
      </w:r>
    </w:p>
    <w:p w:rsidR="00D24982" w:rsidRPr="00924B01" w:rsidRDefault="00D24982" w:rsidP="008E12D4">
      <w:pPr>
        <w:jc w:val="both"/>
        <w:rPr>
          <w:rFonts w:cs="Arial"/>
          <w:b/>
        </w:rPr>
      </w:pPr>
      <w:r w:rsidRPr="00924B01">
        <w:rPr>
          <w:rFonts w:cs="Arial"/>
        </w:rPr>
        <w:t>The paediatric intensive care unit (PICU) at the RCH is the largest PICU in Australia. Approximately 1300 infants and children are admitted to our PICU each year, representing all medical and surgical paediatric subspecialties. The unit has a high acuity, with 70% of admissions requiring intubation and mechanical ventilation. In addition to providing tertiary PICU services for Victoria and Tasmania, several national programs are catered for, including heart transplantation, respiratory ECMO, long-term VAD, surgical treatment of hypoplastic left heart syndrome and intestinal transplantation. A large proportion of the workload (40-45% of patients) arises from the cardiac services program, providing cardiac surgery to Victoria, Tasmania, South Australia and the Northern Territory. Emergency and elective patients are admitted from within the RCH and external emergencies from Victoria and neighbouring states are predominantly admitted via the Paediatric Emergency Transport Service (PETS).</w:t>
      </w:r>
      <w:r w:rsidR="00924B01">
        <w:rPr>
          <w:rFonts w:cs="Arial"/>
        </w:rPr>
        <w:t xml:space="preserve"> The unit is currently funded for 22.5 beds.</w:t>
      </w:r>
    </w:p>
    <w:p w:rsidR="00D24982" w:rsidRPr="00924B01"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3</w:t>
      </w:r>
      <w:r w:rsidRPr="00924B01">
        <w:rPr>
          <w:rFonts w:ascii="Verdana" w:hAnsi="Verdana"/>
          <w:sz w:val="20"/>
          <w:szCs w:val="20"/>
          <w:vertAlign w:val="superscript"/>
        </w:rPr>
        <w:t>rd</w:t>
      </w:r>
      <w:r w:rsidRPr="00924B01">
        <w:rPr>
          <w:rFonts w:ascii="Verdana" w:hAnsi="Verdana"/>
          <w:sz w:val="20"/>
          <w:szCs w:val="20"/>
        </w:rPr>
        <w:t xml:space="preserve"> floor, north building: Koala – Cardiac Surgery   </w:t>
      </w:r>
    </w:p>
    <w:p w:rsidR="00D24982" w:rsidRPr="00924B01" w:rsidDel="00645647" w:rsidRDefault="00D24982" w:rsidP="008E12D4">
      <w:pPr>
        <w:jc w:val="both"/>
        <w:rPr>
          <w:rFonts w:cs="Arial"/>
          <w:b/>
        </w:rPr>
      </w:pPr>
      <w:r w:rsidRPr="00924B01">
        <w:rPr>
          <w:rFonts w:cs="Arial"/>
        </w:rPr>
        <w:t xml:space="preserve">Koala ward </w:t>
      </w:r>
      <w:r w:rsidR="00924B01">
        <w:rPr>
          <w:rFonts w:cs="Arial"/>
        </w:rPr>
        <w:t xml:space="preserve">(30 beds) </w:t>
      </w:r>
      <w:r w:rsidRPr="00924B01">
        <w:rPr>
          <w:rFonts w:cs="Arial"/>
        </w:rPr>
        <w:t xml:space="preserve">provides care for patients, ranging from newborns to adolescents, with renal and cardiac conditions. Care includes cardiac surgery, medical therapies, renal transplantation, electrophysiology and peritoneal dialysis. Koala ward are the National Centre for Cardiac Transplantation, Pulmonary Hypertension and Hypoplastic Left Heart Syndrome. The patients are admitted from all over Victoria, interstate and overseas. </w:t>
      </w:r>
    </w:p>
    <w:p w:rsidR="00D24982" w:rsidRPr="00924B01" w:rsidRDefault="00D24982" w:rsidP="00191D7B">
      <w:pPr>
        <w:pStyle w:val="Heading3a"/>
        <w:spacing w:before="120"/>
        <w:contextualSpacing w:val="0"/>
        <w:rPr>
          <w:rFonts w:ascii="Verdana" w:hAnsi="Verdana"/>
          <w:sz w:val="20"/>
          <w:szCs w:val="20"/>
        </w:rPr>
      </w:pPr>
      <w:r w:rsidRPr="00924B01">
        <w:rPr>
          <w:rFonts w:ascii="Verdana" w:hAnsi="Verdana"/>
          <w:sz w:val="20"/>
          <w:szCs w:val="20"/>
        </w:rPr>
        <w:t>2nd floor, north building: Sugar Glider – Medical Care</w:t>
      </w:r>
    </w:p>
    <w:p w:rsidR="008E12D4" w:rsidRPr="00924B01" w:rsidRDefault="00D24982" w:rsidP="008E12D4">
      <w:pPr>
        <w:jc w:val="both"/>
        <w:rPr>
          <w:rFonts w:cs="Arial"/>
        </w:rPr>
      </w:pPr>
      <w:r w:rsidRPr="00924B01">
        <w:rPr>
          <w:rFonts w:cs="Arial"/>
        </w:rPr>
        <w:t>The Sugar Glider ward</w:t>
      </w:r>
      <w:r w:rsidR="00924B01" w:rsidRPr="00924B01">
        <w:rPr>
          <w:rFonts w:cs="Arial"/>
        </w:rPr>
        <w:t xml:space="preserve"> (30 bed)</w:t>
      </w:r>
      <w:r w:rsidRPr="00924B01">
        <w:rPr>
          <w:rFonts w:cs="Arial"/>
        </w:rPr>
        <w:t xml:space="preserve"> is a specialised medical unit where a multidisciplinary team cares for children and infants with a diverse range of acute and chronic illnesses. The ward has four medical specialties: General Medicine, Respiratory Medicine, ENT and Developmental Medicine. </w:t>
      </w:r>
    </w:p>
    <w:p w:rsidR="00D24982" w:rsidRPr="00924B01" w:rsidDel="00645647" w:rsidRDefault="00D24982" w:rsidP="008E12D4">
      <w:pPr>
        <w:spacing w:before="120"/>
        <w:jc w:val="both"/>
        <w:rPr>
          <w:rFonts w:eastAsia="Times New Roman"/>
          <w:b/>
          <w:spacing w:val="4"/>
        </w:rPr>
      </w:pPr>
      <w:r w:rsidRPr="00924B01">
        <w:rPr>
          <w:b/>
        </w:rPr>
        <w:t>2</w:t>
      </w:r>
      <w:r w:rsidRPr="00924B01">
        <w:rPr>
          <w:b/>
          <w:vertAlign w:val="superscript"/>
        </w:rPr>
        <w:t>nd</w:t>
      </w:r>
      <w:r w:rsidRPr="00924B01">
        <w:rPr>
          <w:b/>
        </w:rPr>
        <w:t xml:space="preserve"> floor, north building: Kookaburra – Cancer Care </w:t>
      </w:r>
    </w:p>
    <w:p w:rsidR="00D24982" w:rsidRPr="00924B01" w:rsidRDefault="00D24982" w:rsidP="008E12D4">
      <w:pPr>
        <w:jc w:val="both"/>
        <w:rPr>
          <w:rFonts w:cs="Arial"/>
        </w:rPr>
      </w:pPr>
      <w:r w:rsidRPr="00924B01">
        <w:rPr>
          <w:rFonts w:cs="Arial"/>
        </w:rPr>
        <w:t>The Cancer Care Unit is the largest treatment centre for children with cancer in the Southern Hemisphere. It is the primary provider of oncology services to children with cancer in Victoria. The Cancer Care Unit provides services for children of all ages, at all stages of treatment and beyond. There are currently 2</w:t>
      </w:r>
      <w:r w:rsidR="00924B01">
        <w:rPr>
          <w:rFonts w:cs="Arial"/>
        </w:rPr>
        <w:t>6</w:t>
      </w:r>
      <w:r w:rsidRPr="00924B01">
        <w:rPr>
          <w:rFonts w:cs="Arial"/>
        </w:rPr>
        <w:t xml:space="preserve"> inpatient beds including </w:t>
      </w:r>
      <w:r w:rsidR="00C121FA" w:rsidRPr="00924B01">
        <w:rPr>
          <w:rFonts w:cs="Arial"/>
        </w:rPr>
        <w:t>an</w:t>
      </w:r>
      <w:r w:rsidRPr="00924B01">
        <w:rPr>
          <w:rFonts w:cs="Arial"/>
        </w:rPr>
        <w:t xml:space="preserve"> 8 bed Bone Marrow Transplant unit. The Cancer Care Unit treats approximately 180 newly diagnosed children each year. Treatment may range from simple regimes to complex management such as unrelated bone marrow transplants.</w:t>
      </w:r>
    </w:p>
    <w:p w:rsidR="00D24982" w:rsidRPr="00924B01" w:rsidDel="005D51D6"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1</w:t>
      </w:r>
      <w:r w:rsidRPr="00924B01">
        <w:rPr>
          <w:rFonts w:ascii="Verdana" w:hAnsi="Verdana"/>
          <w:sz w:val="20"/>
          <w:szCs w:val="20"/>
          <w:vertAlign w:val="superscript"/>
        </w:rPr>
        <w:t>st</w:t>
      </w:r>
      <w:r w:rsidRPr="00924B01">
        <w:rPr>
          <w:rFonts w:ascii="Verdana" w:hAnsi="Verdana"/>
          <w:sz w:val="20"/>
          <w:szCs w:val="20"/>
        </w:rPr>
        <w:t xml:space="preserve"> floor, nort</w:t>
      </w:r>
      <w:r w:rsidR="00924B01">
        <w:rPr>
          <w:rFonts w:ascii="Verdana" w:hAnsi="Verdana"/>
          <w:sz w:val="20"/>
          <w:szCs w:val="20"/>
        </w:rPr>
        <w:t>h building: Kelpie – Adolescent,</w:t>
      </w:r>
      <w:r w:rsidRPr="00924B01">
        <w:rPr>
          <w:rFonts w:ascii="Verdana" w:hAnsi="Verdana"/>
          <w:sz w:val="20"/>
          <w:szCs w:val="20"/>
        </w:rPr>
        <w:t xml:space="preserve"> Rehabilitation Care</w:t>
      </w:r>
      <w:r w:rsidR="00924B01">
        <w:rPr>
          <w:rFonts w:ascii="Verdana" w:hAnsi="Verdana"/>
          <w:sz w:val="20"/>
          <w:szCs w:val="20"/>
        </w:rPr>
        <w:t xml:space="preserve"> &amp; Oncology</w:t>
      </w:r>
    </w:p>
    <w:p w:rsidR="00D24982" w:rsidRPr="00924B01" w:rsidDel="005D51D6" w:rsidRDefault="00D24982" w:rsidP="008E12D4">
      <w:pPr>
        <w:jc w:val="both"/>
        <w:rPr>
          <w:rFonts w:cs="Arial"/>
          <w:b/>
        </w:rPr>
      </w:pPr>
      <w:r w:rsidRPr="00924B01">
        <w:rPr>
          <w:rFonts w:cs="Arial"/>
        </w:rPr>
        <w:t xml:space="preserve">Kelpie ward </w:t>
      </w:r>
      <w:r w:rsidR="00924B01">
        <w:rPr>
          <w:rFonts w:cs="Arial"/>
        </w:rPr>
        <w:t xml:space="preserve">(32 beds) </w:t>
      </w:r>
      <w:r w:rsidRPr="00924B01">
        <w:rPr>
          <w:rFonts w:cs="Arial"/>
        </w:rPr>
        <w:t xml:space="preserve">delivers developmentally appropriate care and treatment to young people between the ages of 12 and 20 with acute and chronic health issues. The ward’s multi-disciplinary model of care involves physical care, treatment, emotional support, advocacy and education. </w:t>
      </w:r>
      <w:r w:rsidR="00924B01">
        <w:rPr>
          <w:rFonts w:cs="Arial"/>
        </w:rPr>
        <w:t xml:space="preserve">Kelpie has 6 inpatient beds for children and young people with cancer. </w:t>
      </w:r>
      <w:r w:rsidRPr="00924B01">
        <w:rPr>
          <w:rFonts w:cs="Arial"/>
        </w:rPr>
        <w:t>Kelpie also provides paediatric rehabilitation to improve the abilities of children and young people following major injury, illness or medical procedures. Individualised care aims to achieve specific goals in areas such as mobility, self-care and communication. Kelpie brings together the clinical care expertise of the R</w:t>
      </w:r>
      <w:r w:rsidR="00924B01">
        <w:rPr>
          <w:rFonts w:cs="Arial"/>
        </w:rPr>
        <w:t xml:space="preserve">CH Centre for Adolescent Health, Children’s Cancer Centre </w:t>
      </w:r>
      <w:r w:rsidRPr="00924B01">
        <w:rPr>
          <w:rFonts w:cs="Arial"/>
        </w:rPr>
        <w:t>and the RCH Paediatric Rehabilitation Service.</w:t>
      </w:r>
    </w:p>
    <w:p w:rsidR="00D24982" w:rsidRPr="00924B01" w:rsidRDefault="00D24982" w:rsidP="008E12D4">
      <w:pPr>
        <w:pStyle w:val="Heading3a"/>
        <w:spacing w:before="120" w:line="240" w:lineRule="auto"/>
        <w:contextualSpacing w:val="0"/>
        <w:jc w:val="both"/>
        <w:rPr>
          <w:rFonts w:ascii="Verdana" w:hAnsi="Verdana"/>
          <w:b w:val="0"/>
          <w:sz w:val="20"/>
          <w:szCs w:val="20"/>
        </w:rPr>
      </w:pPr>
      <w:r w:rsidRPr="00924B01">
        <w:rPr>
          <w:rFonts w:ascii="Verdana" w:hAnsi="Verdana"/>
          <w:sz w:val="20"/>
          <w:szCs w:val="20"/>
        </w:rPr>
        <w:t>1</w:t>
      </w:r>
      <w:r w:rsidRPr="00924B01">
        <w:rPr>
          <w:rFonts w:ascii="Verdana" w:hAnsi="Verdana"/>
          <w:sz w:val="20"/>
          <w:szCs w:val="20"/>
          <w:vertAlign w:val="superscript"/>
        </w:rPr>
        <w:t>st</w:t>
      </w:r>
      <w:r w:rsidRPr="00924B01">
        <w:rPr>
          <w:rFonts w:ascii="Verdana" w:hAnsi="Verdana"/>
          <w:sz w:val="20"/>
          <w:szCs w:val="20"/>
        </w:rPr>
        <w:t xml:space="preserve"> floor, north building: Banksia </w:t>
      </w:r>
      <w:r w:rsidR="0070360B" w:rsidRPr="00924B01">
        <w:rPr>
          <w:rFonts w:ascii="Verdana" w:hAnsi="Verdana"/>
          <w:sz w:val="20"/>
          <w:szCs w:val="20"/>
        </w:rPr>
        <w:t>Ward</w:t>
      </w:r>
      <w:r w:rsidRPr="00924B01">
        <w:rPr>
          <w:rFonts w:ascii="Verdana" w:hAnsi="Verdana"/>
          <w:sz w:val="20"/>
          <w:szCs w:val="20"/>
        </w:rPr>
        <w:t xml:space="preserve"> – Inpatient Mental Health </w:t>
      </w:r>
    </w:p>
    <w:p w:rsidR="00D24982" w:rsidRPr="00924B01" w:rsidRDefault="00AF04AF" w:rsidP="00AF04AF">
      <w:pPr>
        <w:spacing w:after="120"/>
        <w:jc w:val="both"/>
      </w:pPr>
      <w:bookmarkStart w:id="61" w:name="L2"/>
      <w:bookmarkEnd w:id="61"/>
      <w:r w:rsidRPr="00924B01">
        <w:t>The Banksia ward is a part of the RCH Mental Health program. It is a 16 bed mental health inpatient ward where consumers aged 12 up to 18 years are assessed and treated for a range of mental health and psychological conditions. The Banksia ward provides holistic care including mental health assessment and treatment in the least restrictive environment where consumers are supported to make or participate in decisions about their assessment, treatment and recovery. The ultimate aim of the Banksia ward is to promote the timely transition of the consumer’s care to family/carer and/or community supports wherever possible.</w:t>
      </w:r>
    </w:p>
    <w:p w:rsidR="00924B01" w:rsidRPr="00924B01" w:rsidRDefault="00D24982" w:rsidP="0040620E">
      <w:pPr>
        <w:pStyle w:val="Heading3"/>
        <w:spacing w:after="120"/>
      </w:pPr>
      <w:bookmarkStart w:id="62" w:name="_Toc500312466"/>
      <w:r w:rsidRPr="00924B01">
        <w:t>East building</w:t>
      </w:r>
      <w:bookmarkEnd w:id="62"/>
    </w:p>
    <w:p w:rsidR="00C14EA2" w:rsidRPr="000E1146" w:rsidRDefault="0040620E" w:rsidP="008E12D4">
      <w:pPr>
        <w:pStyle w:val="Heading3a"/>
        <w:spacing w:line="240" w:lineRule="auto"/>
        <w:contextualSpacing w:val="0"/>
        <w:jc w:val="both"/>
        <w:rPr>
          <w:rFonts w:ascii="Verdana" w:hAnsi="Verdana"/>
          <w:b w:val="0"/>
          <w:sz w:val="16"/>
          <w:szCs w:val="16"/>
        </w:rPr>
      </w:pPr>
      <w:r>
        <w:rPr>
          <w:rFonts w:ascii="Verdana" w:hAnsi="Verdana"/>
          <w:sz w:val="20"/>
          <w:szCs w:val="20"/>
        </w:rPr>
        <w:t>3</w:t>
      </w:r>
      <w:r w:rsidRPr="0040620E">
        <w:rPr>
          <w:rFonts w:ascii="Verdana" w:hAnsi="Verdana"/>
          <w:sz w:val="20"/>
          <w:szCs w:val="20"/>
          <w:vertAlign w:val="superscript"/>
        </w:rPr>
        <w:t>rd</w:t>
      </w:r>
      <w:r>
        <w:rPr>
          <w:rFonts w:ascii="Verdana" w:hAnsi="Verdana"/>
          <w:sz w:val="20"/>
          <w:szCs w:val="20"/>
        </w:rPr>
        <w:t xml:space="preserve"> floor, east building: </w:t>
      </w:r>
      <w:r w:rsidR="00C14EA2">
        <w:rPr>
          <w:rFonts w:ascii="Verdana" w:hAnsi="Verdana"/>
          <w:sz w:val="20"/>
          <w:szCs w:val="20"/>
        </w:rPr>
        <w:t xml:space="preserve">Perioperative Services </w:t>
      </w:r>
      <w:r w:rsidR="00C14EA2" w:rsidRPr="00C14EA2">
        <w:rPr>
          <w:rFonts w:ascii="Verdana" w:hAnsi="Verdana"/>
          <w:b w:val="0"/>
          <w:sz w:val="20"/>
          <w:szCs w:val="20"/>
        </w:rPr>
        <w:t>(</w:t>
      </w:r>
      <w:r w:rsidR="00C14EA2" w:rsidRPr="000E1146">
        <w:rPr>
          <w:rFonts w:ascii="Verdana" w:hAnsi="Verdana"/>
          <w:b w:val="0"/>
          <w:sz w:val="16"/>
          <w:szCs w:val="16"/>
        </w:rPr>
        <w:t>Theatre, Recovery, Possum Short &amp; Day Surgical Unit)</w:t>
      </w:r>
    </w:p>
    <w:p w:rsidR="00D24982" w:rsidRPr="00924B01" w:rsidRDefault="00C14EA2" w:rsidP="0040620E">
      <w:pPr>
        <w:pStyle w:val="Heading3a"/>
        <w:spacing w:before="120" w:line="240" w:lineRule="auto"/>
        <w:contextualSpacing w:val="0"/>
        <w:jc w:val="both"/>
        <w:rPr>
          <w:rFonts w:ascii="Verdana" w:hAnsi="Verdana"/>
          <w:b w:val="0"/>
          <w:sz w:val="20"/>
          <w:szCs w:val="20"/>
        </w:rPr>
      </w:pPr>
      <w:r>
        <w:rPr>
          <w:rFonts w:ascii="Verdana" w:hAnsi="Verdana"/>
          <w:sz w:val="20"/>
          <w:szCs w:val="20"/>
        </w:rPr>
        <w:t>Theatre</w:t>
      </w:r>
    </w:p>
    <w:p w:rsidR="00D24982" w:rsidRDefault="00C14EA2" w:rsidP="008E12D4">
      <w:pPr>
        <w:jc w:val="both"/>
        <w:rPr>
          <w:rFonts w:cs="Arial"/>
        </w:rPr>
      </w:pPr>
      <w:r>
        <w:rPr>
          <w:rFonts w:cs="Arial"/>
        </w:rPr>
        <w:t>The theatre</w:t>
      </w:r>
      <w:r w:rsidR="00D24982" w:rsidRPr="00924B01">
        <w:rPr>
          <w:rFonts w:cs="Arial"/>
        </w:rPr>
        <w:t xml:space="preserve"> </w:t>
      </w:r>
      <w:r w:rsidR="0094457B" w:rsidRPr="00924B01">
        <w:rPr>
          <w:rFonts w:cs="Arial"/>
        </w:rPr>
        <w:t>Suite</w:t>
      </w:r>
      <w:r w:rsidR="00D24982" w:rsidRPr="00924B01">
        <w:rPr>
          <w:rFonts w:cs="Arial"/>
        </w:rPr>
        <w:t xml:space="preserve"> </w:t>
      </w:r>
      <w:r w:rsidR="0094457B" w:rsidRPr="00924B01">
        <w:rPr>
          <w:rFonts w:cs="Arial"/>
        </w:rPr>
        <w:t>is made up</w:t>
      </w:r>
      <w:r>
        <w:rPr>
          <w:rFonts w:cs="Arial"/>
        </w:rPr>
        <w:t xml:space="preserve"> of 14 theatres and performs over 17,139 elective and emergency surgeries per year (2016/2017).</w:t>
      </w:r>
      <w:r w:rsidR="0094457B" w:rsidRPr="00924B01">
        <w:rPr>
          <w:rFonts w:cs="Arial"/>
        </w:rPr>
        <w:t xml:space="preserve"> The majority of perioperative patients are admitted directly to theatre (90%) and then discharged home from the unit (50%) as day stay patients. Patients who require a one night stay in hospital will be admitted to the ward.</w:t>
      </w:r>
    </w:p>
    <w:p w:rsidR="000E1146" w:rsidRDefault="000E1146" w:rsidP="00C14EA2">
      <w:pPr>
        <w:pStyle w:val="Heading3a"/>
        <w:spacing w:line="240" w:lineRule="auto"/>
        <w:contextualSpacing w:val="0"/>
        <w:jc w:val="both"/>
        <w:rPr>
          <w:rFonts w:ascii="Verdana" w:hAnsi="Verdana"/>
          <w:sz w:val="20"/>
          <w:szCs w:val="20"/>
          <w:highlight w:val="yellow"/>
        </w:rPr>
      </w:pPr>
    </w:p>
    <w:p w:rsidR="00F97888" w:rsidRPr="00F97888" w:rsidRDefault="00F97888" w:rsidP="00F97888">
      <w:pPr>
        <w:rPr>
          <w:rFonts w:eastAsiaTheme="minorHAnsi"/>
          <w:b/>
          <w:color w:val="000000" w:themeColor="text1"/>
        </w:rPr>
      </w:pPr>
      <w:r w:rsidRPr="00F97888">
        <w:rPr>
          <w:rFonts w:eastAsiaTheme="minorHAnsi"/>
          <w:b/>
          <w:color w:val="000000" w:themeColor="text1"/>
        </w:rPr>
        <w:t>Recovery</w:t>
      </w:r>
    </w:p>
    <w:p w:rsidR="00F97888" w:rsidRPr="00F97888" w:rsidRDefault="00F97888" w:rsidP="003B59A9">
      <w:pPr>
        <w:jc w:val="both"/>
        <w:rPr>
          <w:color w:val="000000" w:themeColor="text1"/>
        </w:rPr>
      </w:pPr>
      <w:r w:rsidRPr="00F97888">
        <w:rPr>
          <w:color w:val="000000" w:themeColor="text1"/>
        </w:rPr>
        <w:t xml:space="preserve">Recovery provides post-operative care for children who have undergone surgery and/or medical imaging procedures </w:t>
      </w:r>
      <w:r>
        <w:rPr>
          <w:color w:val="000000" w:themeColor="text1"/>
        </w:rPr>
        <w:t>and provides a service 24 hours /7 days per week. The</w:t>
      </w:r>
      <w:r w:rsidRPr="00F97888">
        <w:rPr>
          <w:color w:val="000000" w:themeColor="text1"/>
        </w:rPr>
        <w:t xml:space="preserve"> Recovery room consists of 20 bays within the Perioperative department on level 3 and 6 bays within the Med</w:t>
      </w:r>
      <w:r>
        <w:rPr>
          <w:color w:val="000000" w:themeColor="text1"/>
        </w:rPr>
        <w:t>ical Imaging department on the l</w:t>
      </w:r>
      <w:r w:rsidRPr="00F97888">
        <w:rPr>
          <w:color w:val="000000" w:themeColor="text1"/>
        </w:rPr>
        <w:t>ower ground floor.</w:t>
      </w:r>
    </w:p>
    <w:p w:rsidR="00F97888" w:rsidRPr="001B7AC6" w:rsidRDefault="00F97888" w:rsidP="008B11D2">
      <w:pPr>
        <w:autoSpaceDE w:val="0"/>
        <w:autoSpaceDN w:val="0"/>
        <w:adjustRightInd w:val="0"/>
        <w:rPr>
          <w:rFonts w:eastAsiaTheme="minorHAnsi" w:cs="Verdana"/>
          <w:color w:val="000000"/>
        </w:rPr>
      </w:pPr>
    </w:p>
    <w:p w:rsidR="00D24982" w:rsidRPr="00924B01" w:rsidRDefault="00924B01" w:rsidP="008E12D4">
      <w:pPr>
        <w:pStyle w:val="Heading3a"/>
        <w:spacing w:before="120" w:line="240" w:lineRule="auto"/>
        <w:contextualSpacing w:val="0"/>
        <w:jc w:val="both"/>
        <w:rPr>
          <w:rFonts w:ascii="Verdana" w:hAnsi="Verdana"/>
          <w:b w:val="0"/>
          <w:sz w:val="20"/>
          <w:szCs w:val="20"/>
        </w:rPr>
      </w:pPr>
      <w:r>
        <w:rPr>
          <w:rFonts w:ascii="Verdana" w:hAnsi="Verdana"/>
          <w:sz w:val="20"/>
          <w:szCs w:val="20"/>
        </w:rPr>
        <w:t xml:space="preserve">Possum Short &amp; Day </w:t>
      </w:r>
      <w:r w:rsidR="00D24982" w:rsidRPr="00924B01">
        <w:rPr>
          <w:rFonts w:ascii="Verdana" w:hAnsi="Verdana"/>
          <w:sz w:val="20"/>
          <w:szCs w:val="20"/>
        </w:rPr>
        <w:t xml:space="preserve">Surgical </w:t>
      </w:r>
      <w:r>
        <w:rPr>
          <w:rFonts w:ascii="Verdana" w:hAnsi="Verdana"/>
          <w:sz w:val="20"/>
          <w:szCs w:val="20"/>
        </w:rPr>
        <w:t xml:space="preserve">Unit </w:t>
      </w:r>
    </w:p>
    <w:p w:rsidR="00D24982" w:rsidRPr="00924B01" w:rsidRDefault="00C14EA2" w:rsidP="008E12D4">
      <w:pPr>
        <w:pStyle w:val="NormalWeb"/>
        <w:spacing w:before="0" w:beforeAutospacing="0" w:after="0" w:afterAutospacing="0"/>
        <w:jc w:val="both"/>
        <w:rPr>
          <w:rFonts w:ascii="Verdana" w:hAnsi="Verdana" w:cs="Arial"/>
          <w:color w:val="auto"/>
          <w:szCs w:val="20"/>
        </w:rPr>
      </w:pPr>
      <w:r>
        <w:rPr>
          <w:rFonts w:ascii="Verdana" w:hAnsi="Verdana" w:cs="Arial"/>
          <w:color w:val="auto"/>
          <w:szCs w:val="20"/>
        </w:rPr>
        <w:t>Possum Ward is a 12</w:t>
      </w:r>
      <w:r w:rsidR="00924B01">
        <w:rPr>
          <w:rFonts w:ascii="Verdana" w:hAnsi="Verdana" w:cs="Arial"/>
          <w:color w:val="auto"/>
          <w:szCs w:val="20"/>
        </w:rPr>
        <w:t xml:space="preserve"> bed surgical short stay unit and is co-located with the Day of Surgery (Reception J) area</w:t>
      </w:r>
      <w:r>
        <w:rPr>
          <w:rFonts w:ascii="Verdana" w:hAnsi="Verdana" w:cs="Arial"/>
          <w:color w:val="auto"/>
          <w:szCs w:val="20"/>
        </w:rPr>
        <w:t>.</w:t>
      </w:r>
      <w:r w:rsidR="00D24982" w:rsidRPr="00924B01">
        <w:rPr>
          <w:rFonts w:ascii="Verdana" w:hAnsi="Verdana" w:cs="Arial"/>
          <w:color w:val="auto"/>
          <w:szCs w:val="20"/>
        </w:rPr>
        <w:t xml:space="preserve"> The </w:t>
      </w:r>
      <w:r w:rsidR="00924B01">
        <w:rPr>
          <w:rFonts w:ascii="Verdana" w:hAnsi="Verdana" w:cs="Arial"/>
          <w:color w:val="auto"/>
          <w:szCs w:val="20"/>
        </w:rPr>
        <w:t xml:space="preserve">team </w:t>
      </w:r>
      <w:r w:rsidR="00D24982" w:rsidRPr="00924B01">
        <w:rPr>
          <w:rFonts w:ascii="Verdana" w:hAnsi="Verdana" w:cs="Arial"/>
          <w:color w:val="auto"/>
          <w:szCs w:val="20"/>
        </w:rPr>
        <w:t>admits both elective and emergency patients from all surgical specialities including General surgical, Orthopaedics, Urology, ENT</w:t>
      </w:r>
      <w:r>
        <w:rPr>
          <w:rFonts w:ascii="Verdana" w:hAnsi="Verdana" w:cs="Arial"/>
          <w:color w:val="auto"/>
          <w:szCs w:val="20"/>
        </w:rPr>
        <w:t xml:space="preserve"> as well as cardiology patients</w:t>
      </w:r>
      <w:r w:rsidR="00D24982" w:rsidRPr="00C14EA2">
        <w:rPr>
          <w:rFonts w:ascii="Verdana" w:hAnsi="Verdana" w:cs="Arial"/>
          <w:color w:val="auto"/>
          <w:szCs w:val="20"/>
        </w:rPr>
        <w:t>.</w:t>
      </w:r>
      <w:r w:rsidRPr="00C14EA2">
        <w:rPr>
          <w:rFonts w:ascii="Verdana" w:hAnsi="Verdana" w:cs="Arial"/>
        </w:rPr>
        <w:t xml:space="preserve"> Nursing staff work across all specialities and provide patient/family centred care. The diverse nature of the surgical specialties involved requires close liaison with all members of the multi-disciplinary health care team. Partnership in care and continuity of nursing care is practiced</w:t>
      </w:r>
    </w:p>
    <w:p w:rsidR="00C14EA2" w:rsidRDefault="00C14EA2" w:rsidP="008E12D4">
      <w:pPr>
        <w:jc w:val="both"/>
        <w:rPr>
          <w:rFonts w:cs="Arial"/>
          <w:highlight w:val="yellow"/>
        </w:rPr>
      </w:pPr>
    </w:p>
    <w:p w:rsidR="00C14EA2" w:rsidRPr="001B7AC6" w:rsidRDefault="00C14EA2" w:rsidP="008E12D4">
      <w:pPr>
        <w:jc w:val="both"/>
        <w:rPr>
          <w:rFonts w:cs="Arial"/>
          <w:b/>
        </w:rPr>
      </w:pPr>
      <w:r w:rsidRPr="001B7AC6">
        <w:rPr>
          <w:rFonts w:cs="Arial"/>
          <w:b/>
        </w:rPr>
        <w:t>1</w:t>
      </w:r>
      <w:r w:rsidRPr="001B7AC6">
        <w:rPr>
          <w:rFonts w:cs="Arial"/>
          <w:b/>
          <w:vertAlign w:val="superscript"/>
        </w:rPr>
        <w:t>st</w:t>
      </w:r>
      <w:r w:rsidRPr="001B7AC6">
        <w:rPr>
          <w:rFonts w:cs="Arial"/>
          <w:b/>
        </w:rPr>
        <w:t xml:space="preserve"> Floor, east building: Complex Care Hub</w:t>
      </w:r>
    </w:p>
    <w:p w:rsidR="00C14EA2" w:rsidRPr="001B7AC6" w:rsidRDefault="001B7AC6" w:rsidP="008E12D4">
      <w:pPr>
        <w:jc w:val="both"/>
        <w:rPr>
          <w:rFonts w:eastAsia="Times New Roman"/>
          <w:b/>
          <w:spacing w:val="4"/>
        </w:rPr>
      </w:pPr>
      <w:r w:rsidRPr="001B7AC6">
        <w:rPr>
          <w:rFonts w:cs="Arial"/>
        </w:rPr>
        <w:t>This new model of care (2017) provides multidisciplinary care to patients and their families with complex care needs that enables a simpler and more cohesive health care journey. Existing services were integrated including Complex Care Service (CCS), Family Choice Program (FCP) and Advice, Consultation &amp; Expertise (ACE).</w:t>
      </w:r>
    </w:p>
    <w:p w:rsidR="00D24982" w:rsidRPr="00C14EA2" w:rsidRDefault="008E12D4" w:rsidP="008E12D4">
      <w:pPr>
        <w:pStyle w:val="Heading3a"/>
        <w:spacing w:before="120" w:line="240" w:lineRule="auto"/>
        <w:contextualSpacing w:val="0"/>
        <w:jc w:val="both"/>
        <w:rPr>
          <w:rFonts w:ascii="Verdana" w:hAnsi="Verdana"/>
          <w:b w:val="0"/>
          <w:sz w:val="20"/>
          <w:szCs w:val="20"/>
        </w:rPr>
      </w:pPr>
      <w:r w:rsidRPr="00C14EA2">
        <w:rPr>
          <w:rFonts w:ascii="Verdana" w:hAnsi="Verdana"/>
          <w:sz w:val="20"/>
          <w:szCs w:val="20"/>
        </w:rPr>
        <w:t>G</w:t>
      </w:r>
      <w:r w:rsidR="00D24982" w:rsidRPr="00C14EA2">
        <w:rPr>
          <w:rFonts w:ascii="Verdana" w:hAnsi="Verdana"/>
          <w:sz w:val="20"/>
          <w:szCs w:val="20"/>
        </w:rPr>
        <w:t>round floor, east building: Specialist Clinics</w:t>
      </w:r>
    </w:p>
    <w:p w:rsidR="00D24982" w:rsidRPr="00C14EA2" w:rsidRDefault="00D24982" w:rsidP="008E12D4">
      <w:pPr>
        <w:jc w:val="both"/>
        <w:rPr>
          <w:rFonts w:cs="Arial"/>
          <w:b/>
        </w:rPr>
      </w:pPr>
      <w:r w:rsidRPr="00C14EA2">
        <w:rPr>
          <w:rFonts w:cs="Arial"/>
        </w:rPr>
        <w:t xml:space="preserve">The specialist clinics at the RCH provide a comprehensive range of outpatient services to </w:t>
      </w:r>
      <w:r w:rsidR="00C14EA2">
        <w:rPr>
          <w:rFonts w:cs="Arial"/>
        </w:rPr>
        <w:t>approximately 322, 291</w:t>
      </w:r>
      <w:r w:rsidRPr="00C14EA2">
        <w:rPr>
          <w:rFonts w:cs="Arial"/>
        </w:rPr>
        <w:t xml:space="preserve"> patients per year. There is an extensive range of medical, surgical and allied health outpatient clinics held throughout the hospital at various locations. Most outpatient clinics are held between 0</w:t>
      </w:r>
      <w:r w:rsidR="00C14EA2">
        <w:rPr>
          <w:rFonts w:cs="Arial"/>
        </w:rPr>
        <w:t xml:space="preserve">830 to </w:t>
      </w:r>
      <w:r w:rsidRPr="00C14EA2">
        <w:rPr>
          <w:rFonts w:cs="Arial"/>
        </w:rPr>
        <w:t>1700 Monday to Friday.</w:t>
      </w:r>
    </w:p>
    <w:p w:rsidR="00D24982" w:rsidRPr="00C14EA2" w:rsidDel="005D51D6" w:rsidRDefault="00D24982" w:rsidP="008E12D4">
      <w:pPr>
        <w:pStyle w:val="Heading3a"/>
        <w:spacing w:before="120" w:line="240" w:lineRule="auto"/>
        <w:contextualSpacing w:val="0"/>
        <w:jc w:val="both"/>
        <w:rPr>
          <w:rFonts w:ascii="Verdana" w:hAnsi="Verdana"/>
          <w:b w:val="0"/>
          <w:sz w:val="20"/>
          <w:szCs w:val="20"/>
        </w:rPr>
      </w:pPr>
      <w:r w:rsidRPr="00C14EA2">
        <w:rPr>
          <w:rFonts w:ascii="Verdana" w:hAnsi="Verdana"/>
          <w:sz w:val="20"/>
          <w:szCs w:val="20"/>
        </w:rPr>
        <w:t>Lower ground, east building: Medical Imaging</w:t>
      </w:r>
    </w:p>
    <w:p w:rsidR="00D24982" w:rsidRPr="00C14EA2" w:rsidRDefault="00D24982" w:rsidP="008E12D4">
      <w:pPr>
        <w:jc w:val="both"/>
        <w:rPr>
          <w:rFonts w:cs="Arial"/>
          <w:b/>
        </w:rPr>
      </w:pPr>
      <w:r w:rsidRPr="00C14EA2">
        <w:rPr>
          <w:rFonts w:cs="Arial"/>
        </w:rPr>
        <w:t>The Medical Imaging Department is a specialised department and aims to provide the best possible medical imaging for children. The imaging is performed with specialised paediatric techniques, modern equipment in the best possible surroundings with minimal discomfort and irradiation. The department includes: four general x-ray rooms, a multi-slice CT (Computed Tomography) scanner, two MRI (Magnetic Resonance Imaging) units, four ultrasound rooms, one nuclear medicine imaging room, one digital fluoroscopy room, one OPG (Orthopantomogram) and two DSA (Digital Subtraction Angiography) rooms. Nurses work alongside a diverse multidisciplinary team, co-ordinating and assisting with individual specialized care which includes, recovery, scrub and scouting for procedures (diagnostic and interventional), and sedations among other responsibilities.</w:t>
      </w:r>
    </w:p>
    <w:p w:rsidR="00D24982" w:rsidRPr="001B7AC6" w:rsidDel="005D51D6" w:rsidRDefault="00D24982" w:rsidP="008E12D4">
      <w:pPr>
        <w:pStyle w:val="Heading3a"/>
        <w:spacing w:before="120" w:line="240" w:lineRule="auto"/>
        <w:contextualSpacing w:val="0"/>
        <w:jc w:val="both"/>
        <w:rPr>
          <w:rFonts w:ascii="Verdana" w:hAnsi="Verdana"/>
          <w:b w:val="0"/>
          <w:sz w:val="20"/>
          <w:szCs w:val="20"/>
        </w:rPr>
      </w:pPr>
      <w:r w:rsidRPr="001B7AC6">
        <w:rPr>
          <w:rFonts w:ascii="Verdana" w:hAnsi="Verdana"/>
          <w:sz w:val="20"/>
          <w:szCs w:val="20"/>
        </w:rPr>
        <w:t>Lower ground, east building: Emergency Department</w:t>
      </w:r>
    </w:p>
    <w:p w:rsidR="00D24982" w:rsidRPr="001B7AC6" w:rsidRDefault="00D24982" w:rsidP="008E12D4">
      <w:pPr>
        <w:jc w:val="both"/>
        <w:rPr>
          <w:rFonts w:cs="Arial"/>
          <w:lang w:val="en-US"/>
        </w:rPr>
      </w:pPr>
      <w:r w:rsidRPr="001B7AC6">
        <w:rPr>
          <w:rFonts w:cs="Arial"/>
          <w:lang w:val="en-US"/>
        </w:rPr>
        <w:t xml:space="preserve">The Emergency Department at The Royal Children's Hospital provides urgent medical care to children and adolescents.  The Department operates 24 hours a day, seven days a week. Approximately </w:t>
      </w:r>
      <w:r w:rsidR="00C14EA2" w:rsidRPr="001B7AC6">
        <w:rPr>
          <w:rFonts w:cs="Arial"/>
          <w:lang w:val="en-US"/>
        </w:rPr>
        <w:t>86</w:t>
      </w:r>
      <w:r w:rsidRPr="001B7AC6">
        <w:rPr>
          <w:rFonts w:cs="Arial"/>
          <w:lang w:val="en-US"/>
        </w:rPr>
        <w:t>,000 patients, ranging from newborns to teenagers, are seen each year. The department is staffed by medical, nursing, clerical and administrative staff as well as ward services assistants.  The clinical area has four Resuscitation rooms, 26</w:t>
      </w:r>
      <w:r w:rsidR="001B7AC6" w:rsidRPr="001B7AC6">
        <w:rPr>
          <w:rFonts w:cs="Arial"/>
          <w:lang w:val="en-US"/>
        </w:rPr>
        <w:t xml:space="preserve"> cubicles, four Procedure rooms and a</w:t>
      </w:r>
      <w:r w:rsidR="00C14EA2" w:rsidRPr="001B7AC6">
        <w:rPr>
          <w:rFonts w:cs="Arial"/>
          <w:lang w:val="en-US"/>
        </w:rPr>
        <w:t xml:space="preserve"> Fast-Track</w:t>
      </w:r>
      <w:r w:rsidR="001B7AC6" w:rsidRPr="001B7AC6">
        <w:rPr>
          <w:rFonts w:cs="Arial"/>
          <w:lang w:val="en-US"/>
        </w:rPr>
        <w:t xml:space="preserve"> facility. </w:t>
      </w:r>
    </w:p>
    <w:p w:rsidR="00D24982" w:rsidRPr="004B02B0" w:rsidRDefault="00D24982" w:rsidP="008E12D4">
      <w:pPr>
        <w:jc w:val="both"/>
        <w:rPr>
          <w:rFonts w:cs="Arial"/>
          <w:highlight w:val="yellow"/>
          <w:lang w:val="en-US"/>
        </w:rPr>
      </w:pPr>
    </w:p>
    <w:p w:rsidR="00D24982" w:rsidRPr="001B7AC6" w:rsidRDefault="00D24982" w:rsidP="00A65E43">
      <w:pPr>
        <w:pStyle w:val="Heading3"/>
      </w:pPr>
      <w:bookmarkStart w:id="63" w:name="_Toc500312467"/>
      <w:r w:rsidRPr="001B7AC6">
        <w:t>West building</w:t>
      </w:r>
      <w:bookmarkEnd w:id="63"/>
    </w:p>
    <w:p w:rsidR="00D24982" w:rsidRPr="001B7AC6" w:rsidDel="005D51D6" w:rsidRDefault="00D24982" w:rsidP="008E12D4">
      <w:pPr>
        <w:pStyle w:val="Heading3a"/>
        <w:spacing w:line="240" w:lineRule="auto"/>
        <w:contextualSpacing w:val="0"/>
        <w:jc w:val="both"/>
        <w:rPr>
          <w:rFonts w:ascii="Verdana" w:hAnsi="Verdana"/>
          <w:b w:val="0"/>
          <w:sz w:val="20"/>
          <w:szCs w:val="20"/>
        </w:rPr>
      </w:pPr>
      <w:r w:rsidRPr="001B7AC6">
        <w:rPr>
          <w:rFonts w:ascii="Verdana" w:hAnsi="Verdana"/>
          <w:sz w:val="20"/>
          <w:szCs w:val="20"/>
        </w:rPr>
        <w:t>2</w:t>
      </w:r>
      <w:r w:rsidRPr="001B7AC6">
        <w:rPr>
          <w:rFonts w:ascii="Verdana" w:hAnsi="Verdana"/>
          <w:sz w:val="20"/>
          <w:szCs w:val="20"/>
          <w:vertAlign w:val="superscript"/>
        </w:rPr>
        <w:t>nd</w:t>
      </w:r>
      <w:r w:rsidRPr="001B7AC6">
        <w:rPr>
          <w:rFonts w:ascii="Verdana" w:hAnsi="Verdana"/>
          <w:sz w:val="20"/>
          <w:szCs w:val="20"/>
        </w:rPr>
        <w:t xml:space="preserve"> floor, west building: Day Medical Care</w:t>
      </w:r>
    </w:p>
    <w:p w:rsidR="00D24982" w:rsidRPr="001B7AC6" w:rsidDel="005D51D6" w:rsidRDefault="00D24982" w:rsidP="008E12D4">
      <w:pPr>
        <w:jc w:val="both"/>
        <w:rPr>
          <w:rFonts w:cs="Arial"/>
          <w:lang w:val="en-US"/>
        </w:rPr>
      </w:pPr>
      <w:r w:rsidRPr="001B7AC6">
        <w:rPr>
          <w:rFonts w:cs="Arial"/>
          <w:lang w:val="en-US"/>
        </w:rPr>
        <w:t xml:space="preserve">Day Medical Care </w:t>
      </w:r>
      <w:r w:rsidR="001B7AC6">
        <w:rPr>
          <w:rFonts w:cs="Arial"/>
          <w:lang w:val="en-US"/>
        </w:rPr>
        <w:t xml:space="preserve">(24 spaces) </w:t>
      </w:r>
      <w:r w:rsidRPr="001B7AC6">
        <w:rPr>
          <w:rFonts w:cs="Arial"/>
          <w:lang w:val="en-US"/>
        </w:rPr>
        <w:t>is a nurse-led unit that assists in the care and diagnosis of patients from newborn to 18 years, and from many specialty medical departments. The highly experienced nursing staff perform many tests and procedures, and provide treatment and ongoing management, of patients with chronic medical conditions including: haemoglobin and blood disorders, bone and joint disorders, gastroenterological disorders and immune deficiencies. Patients requiring long term haemodialysis are also treated; and children with food and drug allergies are challenged under supervision. Nurses in Day Medical Care are highly skilled in the insertion and management of intravenous lines, and the management of anxiety, pain or distress.  They assist medical staff perform minor medical procedures under sedation, and they are skilled in performing complex endocrine diagnostic tests. Nursing staff are actively involved in educating patients and their caregivers regarding condition and treatment for patients.</w:t>
      </w:r>
    </w:p>
    <w:p w:rsidR="00D24982" w:rsidRPr="001B7AC6" w:rsidRDefault="00D24982" w:rsidP="008E12D4">
      <w:pPr>
        <w:pStyle w:val="Heading3a"/>
        <w:spacing w:before="120" w:line="240" w:lineRule="auto"/>
        <w:contextualSpacing w:val="0"/>
        <w:jc w:val="both"/>
        <w:rPr>
          <w:rFonts w:ascii="Verdana" w:hAnsi="Verdana"/>
          <w:b w:val="0"/>
          <w:sz w:val="20"/>
          <w:szCs w:val="20"/>
        </w:rPr>
      </w:pPr>
      <w:r w:rsidRPr="001B7AC6">
        <w:rPr>
          <w:rFonts w:ascii="Verdana" w:hAnsi="Verdana"/>
          <w:sz w:val="20"/>
          <w:szCs w:val="20"/>
        </w:rPr>
        <w:t>2</w:t>
      </w:r>
      <w:r w:rsidRPr="001B7AC6">
        <w:rPr>
          <w:rFonts w:ascii="Verdana" w:hAnsi="Verdana"/>
          <w:sz w:val="20"/>
          <w:szCs w:val="20"/>
          <w:vertAlign w:val="superscript"/>
        </w:rPr>
        <w:t>nd</w:t>
      </w:r>
      <w:r w:rsidRPr="001B7AC6">
        <w:rPr>
          <w:rFonts w:ascii="Verdana" w:hAnsi="Verdana"/>
          <w:sz w:val="20"/>
          <w:szCs w:val="20"/>
        </w:rPr>
        <w:t xml:space="preserve"> floor, west building: Day Cancer Unit</w:t>
      </w:r>
    </w:p>
    <w:p w:rsidR="00D24982" w:rsidRPr="001B7AC6" w:rsidRDefault="00D24982" w:rsidP="008E12D4">
      <w:pPr>
        <w:jc w:val="both"/>
        <w:rPr>
          <w:rFonts w:cs="Arial"/>
        </w:rPr>
      </w:pPr>
      <w:r w:rsidRPr="001B7AC6">
        <w:rPr>
          <w:rFonts w:cs="Arial"/>
        </w:rPr>
        <w:t>The D</w:t>
      </w:r>
      <w:r w:rsidR="001B7AC6">
        <w:rPr>
          <w:rFonts w:cs="Arial"/>
        </w:rPr>
        <w:t>ay Cancer Unit on 2 west is a 15</w:t>
      </w:r>
      <w:r w:rsidRPr="001B7AC6">
        <w:rPr>
          <w:rFonts w:cs="Arial"/>
        </w:rPr>
        <w:t xml:space="preserve"> bed outpatient treatment area for children undergoing treatment for haematology oncology conditions. The service provides care Monday to Saturday allowing patients to remain at home whilst having active treatment.</w:t>
      </w:r>
    </w:p>
    <w:p w:rsidR="00D24982" w:rsidRPr="001B7AC6" w:rsidDel="005D51D6" w:rsidRDefault="00D24982" w:rsidP="008E12D4">
      <w:pPr>
        <w:spacing w:before="120"/>
        <w:jc w:val="both"/>
        <w:rPr>
          <w:b/>
        </w:rPr>
      </w:pPr>
      <w:r w:rsidRPr="001B7AC6">
        <w:rPr>
          <w:b/>
        </w:rPr>
        <w:t>Lower ground floor, west building: Dolphin – Medical Short Stay Unit</w:t>
      </w:r>
    </w:p>
    <w:p w:rsidR="00D24982" w:rsidRPr="00D7099A" w:rsidRDefault="00D24982" w:rsidP="008E12D4">
      <w:pPr>
        <w:jc w:val="both"/>
        <w:rPr>
          <w:rFonts w:cs="Arial"/>
        </w:rPr>
      </w:pPr>
      <w:r w:rsidRPr="001B7AC6">
        <w:rPr>
          <w:rFonts w:cs="Arial"/>
        </w:rPr>
        <w:t>Dolphin Medical Short Stay</w:t>
      </w:r>
      <w:r w:rsidR="001B7AC6">
        <w:rPr>
          <w:rFonts w:cs="Arial"/>
        </w:rPr>
        <w:t xml:space="preserve"> (24 beds)</w:t>
      </w:r>
      <w:r w:rsidRPr="001B7AC6">
        <w:rPr>
          <w:rFonts w:cs="Arial"/>
        </w:rPr>
        <w:t xml:space="preserve"> unit is located adjacent to the RCH Emergency Department (ED). Located on the Lower Ground floor (Underwater level) the unit cares for patients who present to the ED, who require care for up to 48 hours. With its streamlined admission and discharge processes, Dolphin Medical Short Stay unit cares for children of all ages, from babies aged six months to adolescents, with a range of acute illnesses.  Conditions treated in the unit include: asthma, bronchiolitis, constipation, croup, eczema, fever, gastroenteritis, urinary tract infection, anaphylaxis (allergic reactions), migraine, snake bite and viral infections.</w:t>
      </w:r>
      <w:r w:rsidRPr="00D7099A">
        <w:rPr>
          <w:rFonts w:cs="Arial"/>
        </w:rPr>
        <w:t xml:space="preserve">  </w:t>
      </w:r>
      <w:r w:rsidRPr="00D7099A">
        <w:br w:type="page"/>
      </w:r>
    </w:p>
    <w:p w:rsidR="00D24982" w:rsidRPr="00A65E43" w:rsidRDefault="00D24982" w:rsidP="00A65E43">
      <w:pPr>
        <w:pStyle w:val="Heading2"/>
      </w:pPr>
      <w:bookmarkStart w:id="64" w:name="_Toc346092329"/>
      <w:bookmarkStart w:id="65" w:name="_Toc500312468"/>
      <w:r w:rsidRPr="00A65E43">
        <w:t>References</w:t>
      </w:r>
      <w:bookmarkEnd w:id="64"/>
      <w:bookmarkEnd w:id="65"/>
    </w:p>
    <w:p w:rsidR="004B02B0" w:rsidRDefault="008104C9" w:rsidP="003B59A9">
      <w:pPr>
        <w:spacing w:after="120"/>
        <w:jc w:val="both"/>
        <w:rPr>
          <w:rFonts w:cs="Arial"/>
        </w:rPr>
      </w:pPr>
      <w:r w:rsidRPr="004B02B0">
        <w:rPr>
          <w:rFonts w:cs="Arial"/>
        </w:rPr>
        <w:t>Benner, P. (1984).   From Novice to Expert, Excellence and Power in Clinical Nursing Practice.  Menlo</w:t>
      </w:r>
    </w:p>
    <w:p w:rsidR="008104C9" w:rsidRPr="004B02B0" w:rsidRDefault="008104C9" w:rsidP="003B59A9">
      <w:pPr>
        <w:spacing w:after="120"/>
        <w:ind w:firstLine="720"/>
        <w:jc w:val="both"/>
        <w:rPr>
          <w:rFonts w:cs="Arial"/>
        </w:rPr>
      </w:pPr>
      <w:r w:rsidRPr="004B02B0">
        <w:rPr>
          <w:rFonts w:cs="Arial"/>
        </w:rPr>
        <w:t xml:space="preserve"> Park, </w:t>
      </w:r>
      <w:r w:rsidRPr="004B02B0">
        <w:rPr>
          <w:rFonts w:cs="Arial"/>
        </w:rPr>
        <w:tab/>
        <w:t>California:  Addison-Wesley.</w:t>
      </w:r>
    </w:p>
    <w:p w:rsidR="008104C9" w:rsidRPr="004B02B0" w:rsidRDefault="008104C9" w:rsidP="003B59A9">
      <w:pPr>
        <w:spacing w:after="120"/>
        <w:jc w:val="both"/>
        <w:rPr>
          <w:rFonts w:cs="Arial"/>
        </w:rPr>
      </w:pPr>
      <w:r w:rsidRPr="004B02B0">
        <w:rPr>
          <w:rFonts w:cs="Arial"/>
        </w:rPr>
        <w:t> </w:t>
      </w:r>
    </w:p>
    <w:p w:rsidR="004B02B0" w:rsidRPr="004B02B0" w:rsidRDefault="008104C9" w:rsidP="003B59A9">
      <w:pPr>
        <w:spacing w:after="120"/>
        <w:jc w:val="both"/>
        <w:rPr>
          <w:rFonts w:cs="Arial"/>
        </w:rPr>
      </w:pPr>
      <w:r w:rsidRPr="004B02B0">
        <w:rPr>
          <w:rFonts w:cs="Arial"/>
        </w:rPr>
        <w:t>Lima, S. (201</w:t>
      </w:r>
      <w:r w:rsidR="004B02B0" w:rsidRPr="004B02B0">
        <w:rPr>
          <w:rFonts w:cs="Arial"/>
        </w:rPr>
        <w:t>4</w:t>
      </w:r>
      <w:r w:rsidRPr="004B02B0">
        <w:rPr>
          <w:rFonts w:cs="Arial"/>
        </w:rPr>
        <w:t>).</w:t>
      </w:r>
      <w:r w:rsidR="004B02B0" w:rsidRPr="004B02B0">
        <w:rPr>
          <w:rFonts w:cs="Arial"/>
        </w:rPr>
        <w:t xml:space="preserve"> </w:t>
      </w:r>
      <w:r w:rsidR="004B02B0" w:rsidRPr="004B02B0">
        <w:rPr>
          <w:rFonts w:cs="Arial"/>
          <w:i/>
        </w:rPr>
        <w:t>A Framework for developing competence.</w:t>
      </w:r>
      <w:r w:rsidR="004B02B0" w:rsidRPr="004B02B0">
        <w:rPr>
          <w:rFonts w:cs="Arial"/>
        </w:rPr>
        <w:t xml:space="preserve"> (PhD thesis, The University of Melbourne, </w:t>
      </w:r>
    </w:p>
    <w:p w:rsidR="004B02B0" w:rsidRPr="004B02B0" w:rsidRDefault="004B02B0" w:rsidP="003B59A9">
      <w:pPr>
        <w:spacing w:after="120"/>
        <w:jc w:val="both"/>
        <w:rPr>
          <w:rFonts w:cs="Arial"/>
        </w:rPr>
      </w:pPr>
      <w:r w:rsidRPr="004B02B0">
        <w:rPr>
          <w:rFonts w:cs="Arial"/>
        </w:rPr>
        <w:tab/>
        <w:t>2014). Abstract retrieved November 30, 2017 from Minerva Access.</w:t>
      </w:r>
    </w:p>
    <w:p w:rsidR="004B02B0" w:rsidRPr="004B02B0" w:rsidRDefault="004B02B0" w:rsidP="003B59A9">
      <w:pPr>
        <w:spacing w:after="120"/>
        <w:jc w:val="both"/>
        <w:rPr>
          <w:rFonts w:cs="Arial"/>
        </w:rPr>
      </w:pPr>
    </w:p>
    <w:p w:rsidR="008104C9" w:rsidRPr="004B02B0" w:rsidRDefault="008104C9" w:rsidP="003B59A9">
      <w:pPr>
        <w:spacing w:after="120"/>
        <w:jc w:val="both"/>
        <w:rPr>
          <w:rFonts w:cs="Arial"/>
        </w:rPr>
      </w:pPr>
      <w:r w:rsidRPr="004B02B0">
        <w:rPr>
          <w:rFonts w:cs="Arial"/>
        </w:rPr>
        <w:t>Nursing and Midwifery Board of Australia (n.d.).   Competency Standards for the Nurse</w:t>
      </w:r>
    </w:p>
    <w:p w:rsidR="008104C9" w:rsidRPr="004B02B0" w:rsidRDefault="008104C9" w:rsidP="003B59A9">
      <w:pPr>
        <w:spacing w:after="120"/>
        <w:jc w:val="both"/>
        <w:rPr>
          <w:rFonts w:cs="Arial"/>
        </w:rPr>
      </w:pPr>
      <w:r w:rsidRPr="004B02B0">
        <w:rPr>
          <w:rFonts w:cs="Arial"/>
        </w:rPr>
        <w:tab/>
        <w:t>Practitioner.</w:t>
      </w:r>
      <w:bookmarkStart w:id="66" w:name="_GoBack"/>
      <w:bookmarkEnd w:id="66"/>
      <w:r w:rsidRPr="004B02B0">
        <w:rPr>
          <w:rFonts w:cs="Arial"/>
        </w:rPr>
        <w:t xml:space="preserve">   Retrieved November 30</w:t>
      </w:r>
      <w:r w:rsidRPr="004B02B0">
        <w:rPr>
          <w:rFonts w:cs="Arial"/>
          <w:vertAlign w:val="superscript"/>
        </w:rPr>
        <w:t>th</w:t>
      </w:r>
      <w:r w:rsidRPr="004B02B0">
        <w:rPr>
          <w:rFonts w:cs="Arial"/>
        </w:rPr>
        <w:t>, 2017 from</w:t>
      </w:r>
    </w:p>
    <w:p w:rsidR="008104C9" w:rsidRPr="004B02B0" w:rsidRDefault="008104C9" w:rsidP="003B59A9">
      <w:pPr>
        <w:spacing w:after="120"/>
        <w:jc w:val="both"/>
        <w:rPr>
          <w:rFonts w:cs="Arial"/>
        </w:rPr>
      </w:pPr>
      <w:r w:rsidRPr="004B02B0">
        <w:rPr>
          <w:rFonts w:cs="Arial"/>
        </w:rPr>
        <w:tab/>
      </w:r>
      <w:hyperlink r:id="rId28" w:history="1">
        <w:r w:rsidRPr="004B02B0">
          <w:rPr>
            <w:rStyle w:val="Hyperlink"/>
            <w:rFonts w:cs="Arial"/>
            <w:color w:val="auto"/>
            <w:u w:val="none"/>
          </w:rPr>
          <w:t>http://www.nursingmidwiferyboard.gov.au/Codes-Guidelines-Statements/Professional-</w:t>
        </w:r>
      </w:hyperlink>
    </w:p>
    <w:p w:rsidR="008104C9" w:rsidRPr="004B02B0" w:rsidRDefault="008104C9" w:rsidP="003B59A9">
      <w:pPr>
        <w:spacing w:after="120"/>
        <w:jc w:val="both"/>
        <w:rPr>
          <w:rFonts w:cs="Arial"/>
        </w:rPr>
      </w:pPr>
      <w:r w:rsidRPr="004B02B0">
        <w:rPr>
          <w:rFonts w:cs="Arial"/>
        </w:rPr>
        <w:tab/>
        <w:t xml:space="preserve">standards.aspx </w:t>
      </w:r>
    </w:p>
    <w:p w:rsidR="008104C9" w:rsidRPr="004B02B0" w:rsidRDefault="008104C9" w:rsidP="003B59A9">
      <w:pPr>
        <w:spacing w:after="120"/>
        <w:jc w:val="both"/>
        <w:rPr>
          <w:rFonts w:cs="Arial"/>
        </w:rPr>
      </w:pPr>
    </w:p>
    <w:p w:rsidR="004B02B0" w:rsidRDefault="00D24982" w:rsidP="003B59A9">
      <w:pPr>
        <w:autoSpaceDE w:val="0"/>
        <w:autoSpaceDN w:val="0"/>
        <w:adjustRightInd w:val="0"/>
        <w:spacing w:after="120"/>
        <w:jc w:val="both"/>
        <w:rPr>
          <w:rFonts w:cs="Arial"/>
          <w:i/>
          <w:lang w:val="en-US"/>
        </w:rPr>
      </w:pPr>
      <w:r w:rsidRPr="004B02B0">
        <w:rPr>
          <w:rFonts w:cs="Arial"/>
          <w:iCs/>
        </w:rPr>
        <w:t xml:space="preserve">Walker, DLK. (2008). </w:t>
      </w:r>
      <w:r w:rsidRPr="004B02B0">
        <w:rPr>
          <w:rFonts w:cs="Arial"/>
          <w:i/>
          <w:lang w:val="en-US"/>
        </w:rPr>
        <w:t xml:space="preserve">How competency is operationalized for registered nurses in the adult medical </w:t>
      </w:r>
    </w:p>
    <w:p w:rsidR="004B02B0" w:rsidRDefault="004B02B0" w:rsidP="003B59A9">
      <w:pPr>
        <w:autoSpaceDE w:val="0"/>
        <w:autoSpaceDN w:val="0"/>
        <w:adjustRightInd w:val="0"/>
        <w:spacing w:after="120"/>
        <w:jc w:val="both"/>
        <w:rPr>
          <w:rFonts w:cs="Arial"/>
        </w:rPr>
      </w:pPr>
      <w:r>
        <w:rPr>
          <w:rFonts w:cs="Arial"/>
          <w:i/>
          <w:lang w:val="en-US"/>
        </w:rPr>
        <w:tab/>
      </w:r>
      <w:r w:rsidR="00D24982" w:rsidRPr="004B02B0">
        <w:rPr>
          <w:rFonts w:cs="Arial"/>
          <w:i/>
          <w:lang w:val="en-US"/>
        </w:rPr>
        <w:t>surgical acute care setting.</w:t>
      </w:r>
      <w:r w:rsidR="00D24982" w:rsidRPr="004B02B0">
        <w:rPr>
          <w:rFonts w:cs="Arial"/>
          <w:lang w:val="en-US"/>
        </w:rPr>
        <w:t xml:space="preserve"> (Doctoral dissertation, Louisiana State University, 2008). </w:t>
      </w:r>
      <w:r w:rsidR="008104C9" w:rsidRPr="004B02B0">
        <w:rPr>
          <w:rFonts w:cs="Arial"/>
        </w:rPr>
        <w:t xml:space="preserve">Abstract </w:t>
      </w:r>
    </w:p>
    <w:p w:rsidR="00D24982" w:rsidRPr="004B02B0" w:rsidRDefault="004B02B0" w:rsidP="003B59A9">
      <w:pPr>
        <w:autoSpaceDE w:val="0"/>
        <w:autoSpaceDN w:val="0"/>
        <w:adjustRightInd w:val="0"/>
        <w:spacing w:after="120"/>
        <w:jc w:val="both"/>
        <w:rPr>
          <w:rFonts w:cs="Arial"/>
          <w:iCs/>
        </w:rPr>
      </w:pPr>
      <w:r>
        <w:rPr>
          <w:rFonts w:cs="Arial"/>
        </w:rPr>
        <w:tab/>
      </w:r>
      <w:r w:rsidR="008104C9" w:rsidRPr="004B02B0">
        <w:rPr>
          <w:rFonts w:cs="Arial"/>
        </w:rPr>
        <w:t>retrieved</w:t>
      </w:r>
      <w:r>
        <w:rPr>
          <w:rFonts w:cs="Arial"/>
        </w:rPr>
        <w:t xml:space="preserve"> </w:t>
      </w:r>
      <w:r w:rsidR="00D24982" w:rsidRPr="004B02B0">
        <w:rPr>
          <w:rFonts w:cs="Arial"/>
        </w:rPr>
        <w:t>December 15, 2010 from CINAHL database.</w:t>
      </w:r>
    </w:p>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24982" w:rsidRPr="00D7099A" w:rsidRDefault="00D24982" w:rsidP="00D24982"/>
    <w:p w:rsidR="00D12825" w:rsidRPr="00D7099A" w:rsidRDefault="00D12825" w:rsidP="00D24982">
      <w:pPr>
        <w:pStyle w:val="Heading2"/>
        <w:jc w:val="both"/>
        <w:rPr>
          <w:sz w:val="20"/>
          <w:szCs w:val="20"/>
        </w:rPr>
      </w:pPr>
    </w:p>
    <w:sectPr w:rsidR="00D12825" w:rsidRPr="00D7099A" w:rsidSect="00B14B99">
      <w:footerReference w:type="default" r:id="rId29"/>
      <w:footerReference w:type="first" r:id="rId30"/>
      <w:type w:val="continuous"/>
      <w:pgSz w:w="11899" w:h="16838"/>
      <w:pgMar w:top="567" w:right="567" w:bottom="454" w:left="680" w:header="454" w:footer="45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DC" w:rsidRDefault="002466DC" w:rsidP="00F9661F">
      <w:r>
        <w:separator/>
      </w:r>
    </w:p>
    <w:p w:rsidR="002466DC" w:rsidRDefault="002466DC"/>
  </w:endnote>
  <w:endnote w:type="continuationSeparator" w:id="0">
    <w:p w:rsidR="002466DC" w:rsidRDefault="002466DC" w:rsidP="00F9661F">
      <w:r>
        <w:continuationSeparator/>
      </w:r>
    </w:p>
    <w:p w:rsidR="002466DC" w:rsidRDefault="0024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Bold">
    <w:altName w:val="Open San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01" w:rsidRPr="00D7099A" w:rsidRDefault="00924B01" w:rsidP="00D7099A">
    <w:pPr>
      <w:pStyle w:val="Footer"/>
      <w:rPr>
        <w:sz w:val="16"/>
        <w:szCs w:val="16"/>
      </w:rPr>
    </w:pPr>
    <w:r>
      <w:rPr>
        <w:sz w:val="16"/>
        <w:szCs w:val="16"/>
      </w:rPr>
      <w:t>RCH Nursing Competency Workbook – 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01" w:rsidRPr="00D7099A" w:rsidRDefault="00924B01" w:rsidP="00D7099A">
    <w:pPr>
      <w:pStyle w:val="Footer"/>
      <w:rPr>
        <w:sz w:val="16"/>
        <w:szCs w:val="16"/>
      </w:rPr>
    </w:pPr>
    <w:r>
      <w:rPr>
        <w:sz w:val="16"/>
        <w:szCs w:val="16"/>
      </w:rPr>
      <w:t>RCH Nursing Competency Workbook – Chapter 1</w:t>
    </w:r>
    <w:r>
      <w:rPr>
        <w:sz w:val="16"/>
        <w:szCs w:val="16"/>
      </w:rPr>
      <w:tab/>
    </w:r>
    <w:r>
      <w:rPr>
        <w:sz w:val="16"/>
        <w:szCs w:val="16"/>
      </w:rPr>
      <w:tab/>
    </w:r>
    <w:r>
      <w:rPr>
        <w:sz w:val="16"/>
        <w:szCs w:val="16"/>
      </w:rPr>
      <w:tab/>
    </w:r>
    <w:r w:rsidRPr="00B14B99">
      <w:rPr>
        <w:sz w:val="16"/>
        <w:szCs w:val="16"/>
      </w:rPr>
      <w:t xml:space="preserve">Page | </w:t>
    </w:r>
    <w:r w:rsidRPr="00B14B99">
      <w:rPr>
        <w:sz w:val="16"/>
        <w:szCs w:val="16"/>
      </w:rPr>
      <w:fldChar w:fldCharType="begin"/>
    </w:r>
    <w:r w:rsidRPr="00B14B99">
      <w:rPr>
        <w:sz w:val="16"/>
        <w:szCs w:val="16"/>
      </w:rPr>
      <w:instrText xml:space="preserve"> PAGE   \* MERGEFORMAT </w:instrText>
    </w:r>
    <w:r w:rsidRPr="00B14B99">
      <w:rPr>
        <w:sz w:val="16"/>
        <w:szCs w:val="16"/>
      </w:rPr>
      <w:fldChar w:fldCharType="separate"/>
    </w:r>
    <w:r w:rsidR="003B59A9">
      <w:rPr>
        <w:noProof/>
        <w:sz w:val="16"/>
        <w:szCs w:val="16"/>
      </w:rPr>
      <w:t>10</w:t>
    </w:r>
    <w:r w:rsidRPr="00B14B9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01" w:rsidRPr="00D7099A" w:rsidRDefault="00924B01" w:rsidP="00B14B99">
    <w:pPr>
      <w:pStyle w:val="Footer"/>
      <w:rPr>
        <w:sz w:val="16"/>
        <w:szCs w:val="16"/>
      </w:rPr>
    </w:pPr>
    <w:r>
      <w:rPr>
        <w:sz w:val="16"/>
        <w:szCs w:val="16"/>
      </w:rPr>
      <w:t>RCH Nursing Competency Workbook – Chapter 1</w:t>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DC" w:rsidRDefault="002466DC" w:rsidP="00F9661F">
      <w:r>
        <w:separator/>
      </w:r>
    </w:p>
    <w:p w:rsidR="002466DC" w:rsidRDefault="002466DC"/>
  </w:footnote>
  <w:footnote w:type="continuationSeparator" w:id="0">
    <w:p w:rsidR="002466DC" w:rsidRDefault="002466DC" w:rsidP="00F9661F">
      <w:r>
        <w:continuationSeparator/>
      </w:r>
    </w:p>
    <w:p w:rsidR="002466DC" w:rsidRDefault="002466DC"/>
  </w:footnote>
  <w:footnote w:id="1">
    <w:p w:rsidR="00924B01" w:rsidRPr="00245527" w:rsidRDefault="00924B01" w:rsidP="00245527">
      <w:pPr>
        <w:pStyle w:val="FootnoteText"/>
        <w:spacing w:after="120"/>
        <w:rPr>
          <w:rFonts w:cs="Arial"/>
          <w:sz w:val="16"/>
          <w:szCs w:val="16"/>
        </w:rPr>
      </w:pPr>
      <w:r w:rsidRPr="00245527">
        <w:rPr>
          <w:rStyle w:val="FootnoteReference"/>
          <w:rFonts w:eastAsia="Cambria" w:cs="Arial"/>
          <w:sz w:val="16"/>
          <w:szCs w:val="16"/>
        </w:rPr>
        <w:footnoteRef/>
      </w:r>
      <w:r w:rsidRPr="00245527">
        <w:rPr>
          <w:rFonts w:cs="Arial"/>
          <w:sz w:val="16"/>
          <w:szCs w:val="16"/>
        </w:rPr>
        <w:t xml:space="preserve"> Graduate nurse program participants </w:t>
      </w:r>
      <w:r>
        <w:rPr>
          <w:rFonts w:cs="Arial"/>
          <w:sz w:val="16"/>
          <w:szCs w:val="16"/>
        </w:rPr>
        <w:t xml:space="preserve">may be </w:t>
      </w:r>
      <w:r w:rsidRPr="00245527">
        <w:rPr>
          <w:rFonts w:cs="Arial"/>
          <w:sz w:val="16"/>
          <w:szCs w:val="16"/>
        </w:rPr>
        <w:t>provided with alternative Performance Assessment and Learning Objectives forms to be utilised throughout the Program. These are included in Graduate Nurse Program Handboo</w:t>
      </w:r>
      <w:r>
        <w:rPr>
          <w:rFonts w:cs="Arial"/>
          <w:sz w:val="16"/>
          <w:szCs w:val="16"/>
        </w:rPr>
        <w:t>k if applicable</w:t>
      </w:r>
      <w:r w:rsidRPr="00245527">
        <w:rPr>
          <w:rFonts w:cs="Arial"/>
          <w:sz w:val="16"/>
          <w:szCs w:val="16"/>
        </w:rPr>
        <w:t>.</w:t>
      </w:r>
    </w:p>
  </w:footnote>
  <w:footnote w:id="2">
    <w:p w:rsidR="00924B01" w:rsidRPr="00245527" w:rsidRDefault="00924B01" w:rsidP="00245527">
      <w:pPr>
        <w:pStyle w:val="FootnoteText"/>
        <w:spacing w:after="120"/>
        <w:rPr>
          <w:sz w:val="16"/>
          <w:szCs w:val="16"/>
        </w:rPr>
      </w:pPr>
      <w:r w:rsidRPr="00245527">
        <w:rPr>
          <w:rStyle w:val="FootnoteReference"/>
          <w:rFonts w:eastAsia="Cambria"/>
          <w:sz w:val="16"/>
          <w:szCs w:val="16"/>
        </w:rPr>
        <w:footnoteRef/>
      </w:r>
      <w:r w:rsidRPr="00245527">
        <w:rPr>
          <w:sz w:val="16"/>
          <w:szCs w:val="16"/>
        </w:rPr>
        <w:t xml:space="preserve"> </w:t>
      </w:r>
      <w:r w:rsidRPr="00245527">
        <w:rPr>
          <w:rFonts w:cs="Arial"/>
          <w:sz w:val="16"/>
          <w:szCs w:val="16"/>
        </w:rPr>
        <w:t xml:space="preserve">Due to conditions of employment Nursing &amp; Administration Workforce staff engage in an altered Nursing Pathway found in Appendix 1V. </w:t>
      </w:r>
      <w:r w:rsidRPr="0024552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541"/>
    <w:multiLevelType w:val="multilevel"/>
    <w:tmpl w:val="08E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25A4"/>
    <w:multiLevelType w:val="hybridMultilevel"/>
    <w:tmpl w:val="BF3ABC2A"/>
    <w:lvl w:ilvl="0" w:tplc="0C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B01D73"/>
    <w:multiLevelType w:val="hybridMultilevel"/>
    <w:tmpl w:val="1C22BA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0D5037"/>
    <w:multiLevelType w:val="hybridMultilevel"/>
    <w:tmpl w:val="27DEC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702BB"/>
    <w:multiLevelType w:val="hybridMultilevel"/>
    <w:tmpl w:val="B93E1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56D01"/>
    <w:multiLevelType w:val="hybridMultilevel"/>
    <w:tmpl w:val="16D689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0E3A30"/>
    <w:multiLevelType w:val="hybridMultilevel"/>
    <w:tmpl w:val="EA6266A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DF0CEA"/>
    <w:multiLevelType w:val="hybridMultilevel"/>
    <w:tmpl w:val="1F9A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0452A"/>
    <w:multiLevelType w:val="hybridMultilevel"/>
    <w:tmpl w:val="448A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61E83"/>
    <w:multiLevelType w:val="hybridMultilevel"/>
    <w:tmpl w:val="3E24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73166"/>
    <w:multiLevelType w:val="hybridMultilevel"/>
    <w:tmpl w:val="A6D2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568A1"/>
    <w:multiLevelType w:val="hybridMultilevel"/>
    <w:tmpl w:val="68A2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72E41"/>
    <w:multiLevelType w:val="hybridMultilevel"/>
    <w:tmpl w:val="6C9C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42E41"/>
    <w:multiLevelType w:val="hybridMultilevel"/>
    <w:tmpl w:val="4AB2F1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A771C"/>
    <w:multiLevelType w:val="hybridMultilevel"/>
    <w:tmpl w:val="7F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B10CC"/>
    <w:multiLevelType w:val="hybridMultilevel"/>
    <w:tmpl w:val="44EEEC8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3463D5"/>
    <w:multiLevelType w:val="hybridMultilevel"/>
    <w:tmpl w:val="0F80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05CBE"/>
    <w:multiLevelType w:val="hybridMultilevel"/>
    <w:tmpl w:val="46EA0FF6"/>
    <w:lvl w:ilvl="0" w:tplc="0C09000F">
      <w:start w:val="1"/>
      <w:numFmt w:val="decimal"/>
      <w:lvlText w:val="%1."/>
      <w:lvlJc w:val="left"/>
      <w:pPr>
        <w:tabs>
          <w:tab w:val="num" w:pos="1080"/>
        </w:tabs>
        <w:ind w:left="1080" w:hanging="360"/>
      </w:p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DFC58FE"/>
    <w:multiLevelType w:val="hybridMultilevel"/>
    <w:tmpl w:val="8D325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95D26"/>
    <w:multiLevelType w:val="hybridMultilevel"/>
    <w:tmpl w:val="969C6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555ED"/>
    <w:multiLevelType w:val="hybridMultilevel"/>
    <w:tmpl w:val="0BEA9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66928"/>
    <w:multiLevelType w:val="hybridMultilevel"/>
    <w:tmpl w:val="8AD825A6"/>
    <w:lvl w:ilvl="0" w:tplc="864C8F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1"/>
  </w:num>
  <w:num w:numId="5">
    <w:abstractNumId w:val="4"/>
  </w:num>
  <w:num w:numId="6">
    <w:abstractNumId w:val="13"/>
  </w:num>
  <w:num w:numId="7">
    <w:abstractNumId w:val="18"/>
  </w:num>
  <w:num w:numId="8">
    <w:abstractNumId w:val="16"/>
  </w:num>
  <w:num w:numId="9">
    <w:abstractNumId w:val="2"/>
  </w:num>
  <w:num w:numId="10">
    <w:abstractNumId w:val="11"/>
  </w:num>
  <w:num w:numId="11">
    <w:abstractNumId w:val="8"/>
  </w:num>
  <w:num w:numId="12">
    <w:abstractNumId w:val="21"/>
  </w:num>
  <w:num w:numId="13">
    <w:abstractNumId w:val="3"/>
  </w:num>
  <w:num w:numId="14">
    <w:abstractNumId w:val="14"/>
  </w:num>
  <w:num w:numId="15">
    <w:abstractNumId w:val="17"/>
  </w:num>
  <w:num w:numId="16">
    <w:abstractNumId w:val="5"/>
  </w:num>
  <w:num w:numId="17">
    <w:abstractNumId w:val="6"/>
  </w:num>
  <w:num w:numId="18">
    <w:abstractNumId w:val="15"/>
  </w:num>
  <w:num w:numId="19">
    <w:abstractNumId w:val="7"/>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1F"/>
    <w:rsid w:val="00001CFA"/>
    <w:rsid w:val="00057034"/>
    <w:rsid w:val="00095522"/>
    <w:rsid w:val="00095F59"/>
    <w:rsid w:val="000E1146"/>
    <w:rsid w:val="00102FDE"/>
    <w:rsid w:val="00147C34"/>
    <w:rsid w:val="0015157A"/>
    <w:rsid w:val="0017075A"/>
    <w:rsid w:val="0017590F"/>
    <w:rsid w:val="00191D7B"/>
    <w:rsid w:val="00197332"/>
    <w:rsid w:val="001A749D"/>
    <w:rsid w:val="001B7AC6"/>
    <w:rsid w:val="00212A2F"/>
    <w:rsid w:val="00222620"/>
    <w:rsid w:val="00245527"/>
    <w:rsid w:val="002456EF"/>
    <w:rsid w:val="002466DC"/>
    <w:rsid w:val="002514B1"/>
    <w:rsid w:val="0026194B"/>
    <w:rsid w:val="002762B4"/>
    <w:rsid w:val="00347EFE"/>
    <w:rsid w:val="003B59A9"/>
    <w:rsid w:val="00402BBA"/>
    <w:rsid w:val="0040620E"/>
    <w:rsid w:val="00496B01"/>
    <w:rsid w:val="004B02B0"/>
    <w:rsid w:val="004B2320"/>
    <w:rsid w:val="00533091"/>
    <w:rsid w:val="005445F1"/>
    <w:rsid w:val="005C21D0"/>
    <w:rsid w:val="005D4AE2"/>
    <w:rsid w:val="00626C70"/>
    <w:rsid w:val="00656B7B"/>
    <w:rsid w:val="006A7745"/>
    <w:rsid w:val="006F2250"/>
    <w:rsid w:val="0070360B"/>
    <w:rsid w:val="00707312"/>
    <w:rsid w:val="007300A0"/>
    <w:rsid w:val="00733CB6"/>
    <w:rsid w:val="007A65FA"/>
    <w:rsid w:val="007E0F4D"/>
    <w:rsid w:val="008104C9"/>
    <w:rsid w:val="008213EA"/>
    <w:rsid w:val="00840BAB"/>
    <w:rsid w:val="008B11D2"/>
    <w:rsid w:val="008E12D4"/>
    <w:rsid w:val="008F440B"/>
    <w:rsid w:val="00915595"/>
    <w:rsid w:val="00924B01"/>
    <w:rsid w:val="00932AFE"/>
    <w:rsid w:val="009440A4"/>
    <w:rsid w:val="0094457B"/>
    <w:rsid w:val="00971A1E"/>
    <w:rsid w:val="00975DA1"/>
    <w:rsid w:val="00992064"/>
    <w:rsid w:val="009A0D08"/>
    <w:rsid w:val="009D37E2"/>
    <w:rsid w:val="009F3ECD"/>
    <w:rsid w:val="00A65E43"/>
    <w:rsid w:val="00A8118F"/>
    <w:rsid w:val="00AD44A6"/>
    <w:rsid w:val="00AF04AF"/>
    <w:rsid w:val="00AF6265"/>
    <w:rsid w:val="00B14B99"/>
    <w:rsid w:val="00B14F64"/>
    <w:rsid w:val="00B31EA7"/>
    <w:rsid w:val="00B43058"/>
    <w:rsid w:val="00B81ABB"/>
    <w:rsid w:val="00BA13A9"/>
    <w:rsid w:val="00BF3FE1"/>
    <w:rsid w:val="00C121FA"/>
    <w:rsid w:val="00C14EA2"/>
    <w:rsid w:val="00C50B7D"/>
    <w:rsid w:val="00C8266F"/>
    <w:rsid w:val="00C851BA"/>
    <w:rsid w:val="00C97F32"/>
    <w:rsid w:val="00CC3EA7"/>
    <w:rsid w:val="00CC7B59"/>
    <w:rsid w:val="00CF6A26"/>
    <w:rsid w:val="00D12825"/>
    <w:rsid w:val="00D205E6"/>
    <w:rsid w:val="00D24982"/>
    <w:rsid w:val="00D63AF3"/>
    <w:rsid w:val="00D7099A"/>
    <w:rsid w:val="00DE66A1"/>
    <w:rsid w:val="00E0693A"/>
    <w:rsid w:val="00E14093"/>
    <w:rsid w:val="00E21FD9"/>
    <w:rsid w:val="00E40CF0"/>
    <w:rsid w:val="00EB4883"/>
    <w:rsid w:val="00EF1661"/>
    <w:rsid w:val="00F13FD6"/>
    <w:rsid w:val="00F9661F"/>
    <w:rsid w:val="00F97888"/>
    <w:rsid w:val="00FA337C"/>
    <w:rsid w:val="00FE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2775C7-568B-4E4D-A902-BBC4D9A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99"/>
    <w:pPr>
      <w:spacing w:after="0" w:line="240" w:lineRule="auto"/>
    </w:pPr>
    <w:rPr>
      <w:rFonts w:ascii="Verdana" w:eastAsia="Cambria" w:hAnsi="Verdana" w:cs="Times New Roman"/>
      <w:sz w:val="20"/>
      <w:szCs w:val="20"/>
      <w:lang w:val="en-AU"/>
    </w:rPr>
  </w:style>
  <w:style w:type="paragraph" w:styleId="Heading2">
    <w:name w:val="heading 2"/>
    <w:basedOn w:val="Normal"/>
    <w:next w:val="Normal"/>
    <w:link w:val="Heading2Char"/>
    <w:qFormat/>
    <w:rsid w:val="00B14B99"/>
    <w:pPr>
      <w:keepNext/>
      <w:keepLines/>
      <w:spacing w:after="120"/>
      <w:outlineLvl w:val="1"/>
    </w:pPr>
    <w:rPr>
      <w:rFonts w:eastAsia="Times New Roman"/>
      <w:b/>
      <w:bCs/>
      <w:sz w:val="24"/>
      <w:szCs w:val="26"/>
    </w:rPr>
  </w:style>
  <w:style w:type="paragraph" w:styleId="Heading3">
    <w:name w:val="heading 3"/>
    <w:basedOn w:val="Heading2"/>
    <w:next w:val="Normal"/>
    <w:link w:val="Heading3Char"/>
    <w:unhideWhenUsed/>
    <w:qFormat/>
    <w:rsid w:val="00B14B99"/>
    <w:pPr>
      <w:spacing w:after="0"/>
      <w:jc w:val="both"/>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4B99"/>
    <w:rPr>
      <w:rFonts w:ascii="Verdana" w:eastAsia="Times New Roman" w:hAnsi="Verdana" w:cs="Times New Roman"/>
      <w:b/>
      <w:bCs/>
      <w:sz w:val="24"/>
      <w:szCs w:val="26"/>
      <w:lang w:val="en-AU"/>
    </w:rPr>
  </w:style>
  <w:style w:type="character" w:customStyle="1" w:styleId="Heading3Char">
    <w:name w:val="Heading 3 Char"/>
    <w:basedOn w:val="DefaultParagraphFont"/>
    <w:link w:val="Heading3"/>
    <w:rsid w:val="00B14B99"/>
    <w:rPr>
      <w:rFonts w:ascii="Verdana" w:eastAsia="Times New Roman" w:hAnsi="Verdana" w:cs="Times New Roman"/>
      <w:b/>
      <w:bCs/>
      <w:sz w:val="20"/>
      <w:szCs w:val="20"/>
      <w:lang w:val="en-AU"/>
    </w:rPr>
  </w:style>
  <w:style w:type="paragraph" w:styleId="Header">
    <w:name w:val="header"/>
    <w:basedOn w:val="Normal"/>
    <w:link w:val="HeaderChar"/>
    <w:uiPriority w:val="99"/>
    <w:semiHidden/>
    <w:unhideWhenUsed/>
    <w:rsid w:val="00F9661F"/>
    <w:pPr>
      <w:tabs>
        <w:tab w:val="center" w:pos="4320"/>
        <w:tab w:val="right" w:pos="8640"/>
      </w:tabs>
    </w:pPr>
  </w:style>
  <w:style w:type="character" w:customStyle="1" w:styleId="HeaderChar">
    <w:name w:val="Header Char"/>
    <w:basedOn w:val="DefaultParagraphFont"/>
    <w:link w:val="Header"/>
    <w:uiPriority w:val="99"/>
    <w:semiHidden/>
    <w:rsid w:val="00F9661F"/>
    <w:rPr>
      <w:rFonts w:ascii="Cambria" w:eastAsia="Cambria" w:hAnsi="Cambria" w:cs="Times New Roman"/>
      <w:sz w:val="24"/>
      <w:szCs w:val="20"/>
      <w:lang w:val="en-AU"/>
    </w:rPr>
  </w:style>
  <w:style w:type="paragraph" w:styleId="Footer">
    <w:name w:val="footer"/>
    <w:basedOn w:val="Normal"/>
    <w:link w:val="FooterChar"/>
    <w:uiPriority w:val="99"/>
    <w:unhideWhenUsed/>
    <w:rsid w:val="00F9661F"/>
    <w:pPr>
      <w:tabs>
        <w:tab w:val="center" w:pos="4320"/>
        <w:tab w:val="right" w:pos="8640"/>
      </w:tabs>
    </w:pPr>
  </w:style>
  <w:style w:type="character" w:customStyle="1" w:styleId="FooterChar">
    <w:name w:val="Footer Char"/>
    <w:basedOn w:val="DefaultParagraphFont"/>
    <w:link w:val="Footer"/>
    <w:uiPriority w:val="99"/>
    <w:rsid w:val="00F9661F"/>
    <w:rPr>
      <w:rFonts w:ascii="Cambria" w:eastAsia="Cambria" w:hAnsi="Cambria" w:cs="Times New Roman"/>
      <w:sz w:val="24"/>
      <w:szCs w:val="20"/>
      <w:lang w:val="en-AU"/>
    </w:rPr>
  </w:style>
  <w:style w:type="paragraph" w:customStyle="1" w:styleId="HeadingDLbrochure">
    <w:name w:val="Heading_DL brochure"/>
    <w:next w:val="SubheadingDLbrochure"/>
    <w:autoRedefine/>
    <w:qFormat/>
    <w:rsid w:val="00C8266F"/>
    <w:pPr>
      <w:widowControl w:val="0"/>
      <w:autoSpaceDE w:val="0"/>
      <w:autoSpaceDN w:val="0"/>
      <w:adjustRightInd w:val="0"/>
      <w:spacing w:before="113" w:after="0" w:line="260" w:lineRule="atLeast"/>
      <w:textAlignment w:val="center"/>
    </w:pPr>
    <w:rPr>
      <w:rFonts w:ascii="Verdana" w:eastAsia="Cambria" w:hAnsi="Verdana" w:cs="Arial"/>
      <w:b/>
      <w:bCs/>
      <w:sz w:val="20"/>
      <w:szCs w:val="20"/>
      <w:lang w:val="en-GB"/>
    </w:rPr>
  </w:style>
  <w:style w:type="paragraph" w:customStyle="1" w:styleId="SubheadingDLbrochure">
    <w:name w:val="Subheading_DL brochure"/>
    <w:basedOn w:val="Normal"/>
    <w:qFormat/>
    <w:rsid w:val="00F9661F"/>
    <w:pPr>
      <w:widowControl w:val="0"/>
      <w:autoSpaceDE w:val="0"/>
      <w:autoSpaceDN w:val="0"/>
      <w:adjustRightInd w:val="0"/>
      <w:spacing w:before="113" w:line="260" w:lineRule="atLeast"/>
      <w:textAlignment w:val="center"/>
    </w:pPr>
    <w:rPr>
      <w:rFonts w:cs="OpenSans-Bold"/>
      <w:b/>
      <w:bCs/>
      <w:color w:val="003051"/>
      <w:sz w:val="18"/>
      <w:szCs w:val="18"/>
      <w:lang w:val="en-GB"/>
    </w:rPr>
  </w:style>
  <w:style w:type="paragraph" w:styleId="BodyText3">
    <w:name w:val="Body Text 3"/>
    <w:basedOn w:val="Normal"/>
    <w:link w:val="BodyText3Char"/>
    <w:rsid w:val="00F9661F"/>
    <w:pPr>
      <w:spacing w:after="120"/>
    </w:pPr>
    <w:rPr>
      <w:rFonts w:eastAsia="Times New Roman"/>
      <w:sz w:val="16"/>
      <w:szCs w:val="16"/>
    </w:rPr>
  </w:style>
  <w:style w:type="character" w:customStyle="1" w:styleId="BodyText3Char">
    <w:name w:val="Body Text 3 Char"/>
    <w:basedOn w:val="DefaultParagraphFont"/>
    <w:link w:val="BodyText3"/>
    <w:rsid w:val="00F9661F"/>
    <w:rPr>
      <w:rFonts w:ascii="Cambria" w:eastAsia="Times New Roman" w:hAnsi="Cambria" w:cs="Times New Roman"/>
      <w:sz w:val="16"/>
      <w:szCs w:val="16"/>
      <w:lang w:val="en-AU"/>
    </w:rPr>
  </w:style>
  <w:style w:type="character" w:styleId="Hyperlink">
    <w:name w:val="Hyperlink"/>
    <w:basedOn w:val="DefaultParagraphFont"/>
    <w:uiPriority w:val="99"/>
    <w:rsid w:val="00F9661F"/>
    <w:rPr>
      <w:rFonts w:cs="Times New Roman"/>
      <w:color w:val="0000FF"/>
      <w:u w:val="single"/>
    </w:rPr>
  </w:style>
  <w:style w:type="paragraph" w:customStyle="1" w:styleId="TableofContents">
    <w:name w:val="Table of Contents"/>
    <w:basedOn w:val="BodyText"/>
    <w:link w:val="TableofContentsChar"/>
    <w:qFormat/>
    <w:rsid w:val="00F9661F"/>
    <w:pPr>
      <w:spacing w:after="0"/>
      <w:contextualSpacing/>
    </w:pPr>
    <w:rPr>
      <w:rFonts w:ascii="Arial" w:eastAsia="Times New Roman" w:hAnsi="Arial"/>
      <w:spacing w:val="4"/>
      <w:sz w:val="52"/>
      <w:szCs w:val="24"/>
    </w:rPr>
  </w:style>
  <w:style w:type="character" w:customStyle="1" w:styleId="TableofContentsChar">
    <w:name w:val="Table of Contents Char"/>
    <w:basedOn w:val="BodyTextChar"/>
    <w:link w:val="TableofContents"/>
    <w:rsid w:val="00F9661F"/>
    <w:rPr>
      <w:rFonts w:ascii="Arial" w:eastAsia="Times New Roman" w:hAnsi="Arial" w:cs="Times New Roman"/>
      <w:spacing w:val="4"/>
      <w:sz w:val="52"/>
      <w:szCs w:val="24"/>
      <w:lang w:val="en-AU"/>
    </w:rPr>
  </w:style>
  <w:style w:type="paragraph" w:styleId="TOC2">
    <w:name w:val="toc 2"/>
    <w:basedOn w:val="Normal"/>
    <w:next w:val="Normal"/>
    <w:autoRedefine/>
    <w:uiPriority w:val="39"/>
    <w:rsid w:val="00B14F64"/>
    <w:pPr>
      <w:tabs>
        <w:tab w:val="right" w:pos="10632"/>
      </w:tabs>
      <w:spacing w:line="360" w:lineRule="auto"/>
      <w:ind w:right="20"/>
    </w:pPr>
    <w:rPr>
      <w:rFonts w:eastAsia="Times New Roman"/>
      <w:b/>
      <w:sz w:val="22"/>
      <w:szCs w:val="22"/>
    </w:rPr>
  </w:style>
  <w:style w:type="paragraph" w:customStyle="1" w:styleId="Heading3a">
    <w:name w:val="Heading 3a"/>
    <w:basedOn w:val="BodyText"/>
    <w:link w:val="Heading3aChar"/>
    <w:qFormat/>
    <w:rsid w:val="00F9661F"/>
    <w:pPr>
      <w:spacing w:after="0" w:line="312" w:lineRule="auto"/>
      <w:contextualSpacing/>
    </w:pPr>
    <w:rPr>
      <w:rFonts w:ascii="Arial" w:eastAsia="Times New Roman" w:hAnsi="Arial"/>
      <w:b/>
      <w:spacing w:val="4"/>
      <w:sz w:val="22"/>
      <w:szCs w:val="24"/>
    </w:rPr>
  </w:style>
  <w:style w:type="character" w:customStyle="1" w:styleId="Heading3aChar">
    <w:name w:val="Heading 3a Char"/>
    <w:basedOn w:val="BodyTextChar"/>
    <w:link w:val="Heading3a"/>
    <w:rsid w:val="00F9661F"/>
    <w:rPr>
      <w:rFonts w:ascii="Arial" w:eastAsia="Times New Roman" w:hAnsi="Arial" w:cs="Times New Roman"/>
      <w:b/>
      <w:spacing w:val="4"/>
      <w:sz w:val="24"/>
      <w:szCs w:val="24"/>
      <w:lang w:val="en-AU"/>
    </w:rPr>
  </w:style>
  <w:style w:type="paragraph" w:customStyle="1" w:styleId="Default">
    <w:name w:val="Default"/>
    <w:rsid w:val="00F9661F"/>
    <w:pPr>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default0">
    <w:name w:val="default"/>
    <w:basedOn w:val="Normal"/>
    <w:rsid w:val="00F9661F"/>
    <w:pPr>
      <w:autoSpaceDE w:val="0"/>
      <w:autoSpaceDN w:val="0"/>
    </w:pPr>
    <w:rPr>
      <w:rFonts w:ascii="Arial" w:eastAsia="Times New Roman" w:hAnsi="Arial" w:cs="Arial"/>
      <w:color w:val="000000"/>
      <w:szCs w:val="24"/>
      <w:lang w:val="en-US"/>
    </w:rPr>
  </w:style>
  <w:style w:type="paragraph" w:styleId="BodyText2">
    <w:name w:val="Body Text 2"/>
    <w:basedOn w:val="Normal"/>
    <w:link w:val="BodyText2Char"/>
    <w:rsid w:val="00F9661F"/>
    <w:pPr>
      <w:spacing w:after="120" w:line="480" w:lineRule="auto"/>
    </w:pPr>
    <w:rPr>
      <w:rFonts w:eastAsia="Times New Roman"/>
      <w:szCs w:val="24"/>
    </w:rPr>
  </w:style>
  <w:style w:type="character" w:customStyle="1" w:styleId="BodyText2Char">
    <w:name w:val="Body Text 2 Char"/>
    <w:basedOn w:val="DefaultParagraphFont"/>
    <w:link w:val="BodyText2"/>
    <w:rsid w:val="00F9661F"/>
    <w:rPr>
      <w:rFonts w:ascii="Cambria" w:eastAsia="Times New Roman" w:hAnsi="Cambria" w:cs="Times New Roman"/>
      <w:sz w:val="24"/>
      <w:szCs w:val="24"/>
      <w:lang w:val="en-AU"/>
    </w:rPr>
  </w:style>
  <w:style w:type="paragraph" w:styleId="FootnoteText">
    <w:name w:val="footnote text"/>
    <w:basedOn w:val="Normal"/>
    <w:link w:val="FootnoteTextChar"/>
    <w:rsid w:val="00F9661F"/>
    <w:rPr>
      <w:rFonts w:eastAsia="Times New Roman"/>
    </w:rPr>
  </w:style>
  <w:style w:type="character" w:customStyle="1" w:styleId="FootnoteTextChar">
    <w:name w:val="Footnote Text Char"/>
    <w:basedOn w:val="DefaultParagraphFont"/>
    <w:link w:val="FootnoteText"/>
    <w:rsid w:val="00F9661F"/>
    <w:rPr>
      <w:rFonts w:ascii="Cambria" w:eastAsia="Times New Roman" w:hAnsi="Cambria" w:cs="Times New Roman"/>
      <w:sz w:val="20"/>
      <w:szCs w:val="20"/>
      <w:lang w:val="en-AU"/>
    </w:rPr>
  </w:style>
  <w:style w:type="character" w:styleId="FootnoteReference">
    <w:name w:val="footnote reference"/>
    <w:basedOn w:val="DefaultParagraphFont"/>
    <w:rsid w:val="00F9661F"/>
    <w:rPr>
      <w:vertAlign w:val="superscript"/>
    </w:rPr>
  </w:style>
  <w:style w:type="paragraph" w:styleId="NormalWeb">
    <w:name w:val="Normal (Web)"/>
    <w:basedOn w:val="Normal"/>
    <w:uiPriority w:val="99"/>
    <w:rsid w:val="00F9661F"/>
    <w:pPr>
      <w:spacing w:before="100" w:beforeAutospacing="1" w:after="100" w:afterAutospacing="1"/>
    </w:pPr>
    <w:rPr>
      <w:rFonts w:ascii="Times New Roman" w:eastAsia="Times New Roman" w:hAnsi="Times New Roman"/>
      <w:color w:val="000000"/>
      <w:szCs w:val="24"/>
      <w:lang w:val="en-GB" w:eastAsia="en-GB"/>
    </w:rPr>
  </w:style>
  <w:style w:type="paragraph" w:styleId="BodyText">
    <w:name w:val="Body Text"/>
    <w:basedOn w:val="Normal"/>
    <w:link w:val="BodyTextChar"/>
    <w:uiPriority w:val="99"/>
    <w:semiHidden/>
    <w:unhideWhenUsed/>
    <w:rsid w:val="00F9661F"/>
    <w:pPr>
      <w:spacing w:after="120"/>
    </w:pPr>
  </w:style>
  <w:style w:type="character" w:customStyle="1" w:styleId="BodyTextChar">
    <w:name w:val="Body Text Char"/>
    <w:basedOn w:val="DefaultParagraphFont"/>
    <w:link w:val="BodyText"/>
    <w:uiPriority w:val="99"/>
    <w:semiHidden/>
    <w:rsid w:val="00F9661F"/>
    <w:rPr>
      <w:rFonts w:ascii="Cambria" w:eastAsia="Cambria" w:hAnsi="Cambria" w:cs="Times New Roman"/>
      <w:sz w:val="24"/>
      <w:szCs w:val="20"/>
      <w:lang w:val="en-AU"/>
    </w:rPr>
  </w:style>
  <w:style w:type="paragraph" w:styleId="BalloonText">
    <w:name w:val="Balloon Text"/>
    <w:basedOn w:val="Normal"/>
    <w:link w:val="BalloonTextChar"/>
    <w:uiPriority w:val="99"/>
    <w:semiHidden/>
    <w:unhideWhenUsed/>
    <w:rsid w:val="00F9661F"/>
    <w:rPr>
      <w:rFonts w:ascii="Tahoma" w:hAnsi="Tahoma" w:cs="Tahoma"/>
      <w:sz w:val="16"/>
      <w:szCs w:val="16"/>
    </w:rPr>
  </w:style>
  <w:style w:type="character" w:customStyle="1" w:styleId="BalloonTextChar">
    <w:name w:val="Balloon Text Char"/>
    <w:basedOn w:val="DefaultParagraphFont"/>
    <w:link w:val="BalloonText"/>
    <w:uiPriority w:val="99"/>
    <w:semiHidden/>
    <w:rsid w:val="00F9661F"/>
    <w:rPr>
      <w:rFonts w:ascii="Tahoma" w:eastAsia="Cambria" w:hAnsi="Tahoma" w:cs="Tahoma"/>
      <w:sz w:val="16"/>
      <w:szCs w:val="16"/>
      <w:lang w:val="en-AU"/>
    </w:rPr>
  </w:style>
  <w:style w:type="paragraph" w:styleId="ListParagraph">
    <w:name w:val="List Paragraph"/>
    <w:basedOn w:val="Normal"/>
    <w:qFormat/>
    <w:rsid w:val="006F2250"/>
    <w:pPr>
      <w:spacing w:before="240"/>
      <w:ind w:left="720"/>
      <w:contextualSpacing/>
    </w:pPr>
    <w:rPr>
      <w:rFonts w:ascii="Calibri" w:eastAsia="Times New Roman" w:hAnsi="Calibri"/>
      <w:sz w:val="22"/>
      <w:szCs w:val="22"/>
    </w:rPr>
  </w:style>
  <w:style w:type="table" w:styleId="TableGrid">
    <w:name w:val="Table Grid"/>
    <w:basedOn w:val="TableNormal"/>
    <w:rsid w:val="00D249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14F64"/>
    <w:pPr>
      <w:tabs>
        <w:tab w:val="right" w:pos="10642"/>
      </w:tabs>
      <w:spacing w:after="100"/>
    </w:pPr>
  </w:style>
  <w:style w:type="paragraph" w:styleId="TOC1">
    <w:name w:val="toc 1"/>
    <w:basedOn w:val="Normal"/>
    <w:next w:val="Normal"/>
    <w:autoRedefine/>
    <w:uiPriority w:val="39"/>
    <w:semiHidden/>
    <w:unhideWhenUsed/>
    <w:rsid w:val="00A65E43"/>
    <w:pPr>
      <w:spacing w:after="100"/>
    </w:pPr>
  </w:style>
  <w:style w:type="character" w:styleId="CommentReference">
    <w:name w:val="annotation reference"/>
    <w:basedOn w:val="DefaultParagraphFont"/>
    <w:uiPriority w:val="99"/>
    <w:semiHidden/>
    <w:unhideWhenUsed/>
    <w:rsid w:val="00102FDE"/>
    <w:rPr>
      <w:sz w:val="16"/>
      <w:szCs w:val="16"/>
    </w:rPr>
  </w:style>
  <w:style w:type="paragraph" w:styleId="CommentText">
    <w:name w:val="annotation text"/>
    <w:basedOn w:val="Normal"/>
    <w:link w:val="CommentTextChar"/>
    <w:uiPriority w:val="99"/>
    <w:semiHidden/>
    <w:unhideWhenUsed/>
    <w:rsid w:val="00102FDE"/>
  </w:style>
  <w:style w:type="character" w:customStyle="1" w:styleId="CommentTextChar">
    <w:name w:val="Comment Text Char"/>
    <w:basedOn w:val="DefaultParagraphFont"/>
    <w:link w:val="CommentText"/>
    <w:uiPriority w:val="99"/>
    <w:semiHidden/>
    <w:rsid w:val="00102FDE"/>
    <w:rPr>
      <w:rFonts w:ascii="Verdana" w:eastAsia="Cambria" w:hAnsi="Verdan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02FDE"/>
    <w:rPr>
      <w:b/>
      <w:bCs/>
    </w:rPr>
  </w:style>
  <w:style w:type="character" w:customStyle="1" w:styleId="CommentSubjectChar">
    <w:name w:val="Comment Subject Char"/>
    <w:basedOn w:val="CommentTextChar"/>
    <w:link w:val="CommentSubject"/>
    <w:uiPriority w:val="99"/>
    <w:semiHidden/>
    <w:rsid w:val="00102FDE"/>
    <w:rPr>
      <w:rFonts w:ascii="Verdana" w:eastAsia="Cambria" w:hAnsi="Verdana"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8412">
      <w:bodyDiv w:val="1"/>
      <w:marLeft w:val="0"/>
      <w:marRight w:val="0"/>
      <w:marTop w:val="0"/>
      <w:marBottom w:val="0"/>
      <w:divBdr>
        <w:top w:val="none" w:sz="0" w:space="0" w:color="auto"/>
        <w:left w:val="none" w:sz="0" w:space="0" w:color="auto"/>
        <w:bottom w:val="none" w:sz="0" w:space="0" w:color="auto"/>
        <w:right w:val="none" w:sz="0" w:space="0" w:color="auto"/>
      </w:divBdr>
    </w:div>
    <w:div w:id="776950193">
      <w:bodyDiv w:val="1"/>
      <w:marLeft w:val="0"/>
      <w:marRight w:val="0"/>
      <w:marTop w:val="0"/>
      <w:marBottom w:val="0"/>
      <w:divBdr>
        <w:top w:val="none" w:sz="0" w:space="0" w:color="auto"/>
        <w:left w:val="none" w:sz="0" w:space="0" w:color="auto"/>
        <w:bottom w:val="none" w:sz="0" w:space="0" w:color="auto"/>
        <w:right w:val="none" w:sz="0" w:space="0" w:color="auto"/>
      </w:divBdr>
    </w:div>
    <w:div w:id="915430839">
      <w:bodyDiv w:val="1"/>
      <w:marLeft w:val="0"/>
      <w:marRight w:val="0"/>
      <w:marTop w:val="0"/>
      <w:marBottom w:val="0"/>
      <w:divBdr>
        <w:top w:val="none" w:sz="0" w:space="0" w:color="auto"/>
        <w:left w:val="none" w:sz="0" w:space="0" w:color="auto"/>
        <w:bottom w:val="none" w:sz="0" w:space="0" w:color="auto"/>
        <w:right w:val="none" w:sz="0" w:space="0" w:color="auto"/>
      </w:divBdr>
    </w:div>
    <w:div w:id="1109425189">
      <w:bodyDiv w:val="1"/>
      <w:marLeft w:val="0"/>
      <w:marRight w:val="0"/>
      <w:marTop w:val="0"/>
      <w:marBottom w:val="0"/>
      <w:divBdr>
        <w:top w:val="none" w:sz="0" w:space="0" w:color="auto"/>
        <w:left w:val="none" w:sz="0" w:space="0" w:color="auto"/>
        <w:bottom w:val="none" w:sz="0" w:space="0" w:color="auto"/>
        <w:right w:val="none" w:sz="0" w:space="0" w:color="auto"/>
      </w:divBdr>
    </w:div>
    <w:div w:id="1644002832">
      <w:bodyDiv w:val="1"/>
      <w:marLeft w:val="0"/>
      <w:marRight w:val="0"/>
      <w:marTop w:val="0"/>
      <w:marBottom w:val="0"/>
      <w:divBdr>
        <w:top w:val="none" w:sz="0" w:space="0" w:color="auto"/>
        <w:left w:val="none" w:sz="0" w:space="0" w:color="auto"/>
        <w:bottom w:val="none" w:sz="0" w:space="0" w:color="auto"/>
        <w:right w:val="none" w:sz="0" w:space="0" w:color="auto"/>
      </w:divBdr>
    </w:div>
    <w:div w:id="1751735278">
      <w:bodyDiv w:val="1"/>
      <w:marLeft w:val="0"/>
      <w:marRight w:val="0"/>
      <w:marTop w:val="0"/>
      <w:marBottom w:val="0"/>
      <w:divBdr>
        <w:top w:val="none" w:sz="0" w:space="0" w:color="auto"/>
        <w:left w:val="none" w:sz="0" w:space="0" w:color="auto"/>
        <w:bottom w:val="none" w:sz="0" w:space="0" w:color="auto"/>
        <w:right w:val="none" w:sz="0" w:space="0" w:color="auto"/>
      </w:divBdr>
    </w:div>
    <w:div w:id="1899902792">
      <w:bodyDiv w:val="1"/>
      <w:marLeft w:val="0"/>
      <w:marRight w:val="0"/>
      <w:marTop w:val="0"/>
      <w:marBottom w:val="0"/>
      <w:divBdr>
        <w:top w:val="none" w:sz="0" w:space="0" w:color="auto"/>
        <w:left w:val="none" w:sz="0" w:space="0" w:color="auto"/>
        <w:bottom w:val="none" w:sz="0" w:space="0" w:color="auto"/>
        <w:right w:val="none" w:sz="0" w:space="0" w:color="auto"/>
      </w:divBdr>
    </w:div>
    <w:div w:id="20205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ship.org.nz" TargetMode="External"/><Relationship Id="rId18" Type="http://schemas.openxmlformats.org/officeDocument/2006/relationships/hyperlink" Target="http://www.rch.org.au/pharmacy" TargetMode="External"/><Relationship Id="rId26" Type="http://schemas.openxmlformats.org/officeDocument/2006/relationships/hyperlink" Target="http://www.rch.org.au/it/help" TargetMode="External"/><Relationship Id="rId3" Type="http://schemas.openxmlformats.org/officeDocument/2006/relationships/styles" Target="styles.xml"/><Relationship Id="rId21" Type="http://schemas.openxmlformats.org/officeDocument/2006/relationships/hyperlink" Target="https://www.rch.org.au/hr/awards/current/" TargetMode="External"/><Relationship Id="rId7" Type="http://schemas.openxmlformats.org/officeDocument/2006/relationships/endnotes" Target="endnotes.xml"/><Relationship Id="rId12" Type="http://schemas.openxmlformats.org/officeDocument/2006/relationships/hyperlink" Target="https://hellomynameis.org.uk/" TargetMode="External"/><Relationship Id="rId17" Type="http://schemas.openxmlformats.org/officeDocument/2006/relationships/hyperlink" Target="http://www.rch.org.au/rchcpg/index.cfm" TargetMode="External"/><Relationship Id="rId25" Type="http://schemas.openxmlformats.org/officeDocument/2006/relationships/hyperlink" Target="http://www.rch.org.au/policy_rch/?doc_id=12637" TargetMode="External"/><Relationship Id="rId2" Type="http://schemas.openxmlformats.org/officeDocument/2006/relationships/numbering" Target="numbering.xml"/><Relationship Id="rId16" Type="http://schemas.openxmlformats.org/officeDocument/2006/relationships/hyperlink" Target="http://www.rch.org.au/clinicalguide/" TargetMode="External"/><Relationship Id="rId20" Type="http://schemas.openxmlformats.org/officeDocument/2006/relationships/hyperlink" Target="http://www.rch.org.au/...tins/?fuseaction=input.emailConfir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rch.org.au/hr/intranet/fa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ch.org.au/mcpc/index.cfm?doc_id=11861" TargetMode="External"/><Relationship Id="rId23" Type="http://schemas.openxmlformats.org/officeDocument/2006/relationships/hyperlink" Target="http://www.rch.org.au/hr/intranet/contact/" TargetMode="External"/><Relationship Id="rId28" Type="http://schemas.openxmlformats.org/officeDocument/2006/relationships/hyperlink" Target="http://www.nursingmidwiferyboard.gov.au/Codes-Guidelines-Statements/Professional-" TargetMode="External"/><Relationship Id="rId10" Type="http://schemas.openxmlformats.org/officeDocument/2006/relationships/footer" Target="footer1.xml"/><Relationship Id="rId19" Type="http://schemas.openxmlformats.org/officeDocument/2006/relationships/hyperlink" Target="http://www.rch.org.au/infection_control/staffheal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ody.trueman@rch.org.au" TargetMode="External"/><Relationship Id="rId14" Type="http://schemas.openxmlformats.org/officeDocument/2006/relationships/hyperlink" Target="http://www.rch.org.au/nursing/index.cfm?doc_id=10944" TargetMode="External"/><Relationship Id="rId22" Type="http://schemas.openxmlformats.org/officeDocument/2006/relationships/hyperlink" Target="http://www.mydna.rch.org.au" TargetMode="External"/><Relationship Id="rId27" Type="http://schemas.openxmlformats.org/officeDocument/2006/relationships/hyperlink" Target="http://www.achs.org.au/"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28F4-E097-46A4-B999-0608A6E5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5266</Words>
  <Characters>30019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dc:description/>
  <cp:lastModifiedBy>Alison Chapman</cp:lastModifiedBy>
  <cp:revision>2</cp:revision>
  <cp:lastPrinted>2017-11-29T23:33:00Z</cp:lastPrinted>
  <dcterms:created xsi:type="dcterms:W3CDTF">2017-12-06T02:49:00Z</dcterms:created>
  <dcterms:modified xsi:type="dcterms:W3CDTF">2017-12-06T02:49:00Z</dcterms:modified>
</cp:coreProperties>
</file>