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9A959" w14:textId="77777777" w:rsidR="008A31AA" w:rsidRDefault="00F47B3A" w:rsidP="00F47B3A">
      <w:pPr>
        <w:jc w:val="center"/>
        <w:rPr>
          <w:b/>
        </w:rPr>
      </w:pPr>
      <w:r w:rsidRPr="006849B5">
        <w:rPr>
          <w:b/>
        </w:rPr>
        <w:t>Prevention of hypocalcaemia after total thyroidectomy in children and adolescents</w:t>
      </w:r>
    </w:p>
    <w:p w14:paraId="03594A6A" w14:textId="1491B281" w:rsidR="00F47B3A" w:rsidRPr="006849B5" w:rsidRDefault="008A31AA" w:rsidP="00F47B3A">
      <w:pPr>
        <w:jc w:val="center"/>
        <w:rPr>
          <w:b/>
        </w:rPr>
      </w:pPr>
      <w:r>
        <w:rPr>
          <w:b/>
        </w:rPr>
        <w:t>SUMMARY</w:t>
      </w:r>
    </w:p>
    <w:p w14:paraId="3D5FFF6B" w14:textId="4995FC3D" w:rsidR="009F7650" w:rsidRDefault="009F7650"/>
    <w:p w14:paraId="5270BE61" w14:textId="1DE14C7A" w:rsidR="00F47B3A" w:rsidRPr="00D158E4" w:rsidRDefault="00B63350">
      <w:pPr>
        <w:rPr>
          <w:b/>
        </w:rPr>
      </w:pPr>
      <w:r w:rsidRPr="00B63350">
        <w:rPr>
          <w:b/>
        </w:rPr>
        <w:t>Background</w:t>
      </w:r>
    </w:p>
    <w:p w14:paraId="4048D5DD" w14:textId="4841A584" w:rsidR="00F47B3A" w:rsidRDefault="00F47B3A">
      <w:r w:rsidRPr="008F2132">
        <w:t>Hypocalcaemia is the most common complication of total thyroidectomy</w:t>
      </w:r>
      <w:r>
        <w:t xml:space="preserve"> in 30-40% of children after a total thyroidectomy. </w:t>
      </w:r>
    </w:p>
    <w:p w14:paraId="19778D1A" w14:textId="1A6CD140" w:rsidR="00F47B3A" w:rsidRDefault="00F47B3A"/>
    <w:p w14:paraId="137A120D" w14:textId="047B0ED3" w:rsidR="00F47B3A" w:rsidRPr="00E91E0A" w:rsidRDefault="00F47B3A" w:rsidP="00F47B3A">
      <w:pPr>
        <w:jc w:val="both"/>
        <w:rPr>
          <w:b/>
        </w:rPr>
      </w:pPr>
      <w:r w:rsidRPr="006849B5">
        <w:rPr>
          <w:b/>
        </w:rPr>
        <w:t xml:space="preserve">How to </w:t>
      </w:r>
      <w:r w:rsidR="00D33468">
        <w:rPr>
          <w:b/>
        </w:rPr>
        <w:t>manage</w:t>
      </w:r>
      <w:r w:rsidR="00E91E0A">
        <w:rPr>
          <w:b/>
        </w:rPr>
        <w:t xml:space="preserve">   </w:t>
      </w:r>
      <w:proofErr w:type="gramStart"/>
      <w:r w:rsidR="00E91E0A">
        <w:rPr>
          <w:b/>
        </w:rPr>
        <w:t xml:space="preserve">   </w:t>
      </w:r>
      <w:r w:rsidR="008A31AA" w:rsidRPr="008A31AA">
        <w:rPr>
          <w:i/>
        </w:rPr>
        <w:t>(</w:t>
      </w:r>
      <w:proofErr w:type="gramEnd"/>
      <w:r w:rsidR="008A31AA" w:rsidRPr="008A31AA">
        <w:rPr>
          <w:i/>
        </w:rPr>
        <w:t>also refer to summary pathway)</w:t>
      </w:r>
    </w:p>
    <w:p w14:paraId="5BA43D92" w14:textId="76E486E6" w:rsidR="00F47B3A" w:rsidRDefault="00F47B3A"/>
    <w:p w14:paraId="3563603A" w14:textId="0A4D62C7" w:rsidR="000A25EF" w:rsidRPr="00B63350" w:rsidRDefault="00F47B3A">
      <w:pPr>
        <w:rPr>
          <w:b/>
        </w:rPr>
      </w:pPr>
      <w:r w:rsidRPr="00B63350">
        <w:rPr>
          <w:b/>
        </w:rPr>
        <w:t xml:space="preserve">1. Preoperative </w:t>
      </w:r>
      <w:r w:rsidR="00D33468" w:rsidRPr="00B63350">
        <w:rPr>
          <w:b/>
        </w:rPr>
        <w:t>management</w:t>
      </w:r>
    </w:p>
    <w:p w14:paraId="0588A16A" w14:textId="45563E40" w:rsidR="00F47B3A" w:rsidRDefault="00F47B3A" w:rsidP="00F47B3A">
      <w:pPr>
        <w:pStyle w:val="ListParagraph"/>
        <w:numPr>
          <w:ilvl w:val="0"/>
          <w:numId w:val="1"/>
        </w:numPr>
      </w:pPr>
      <w:r>
        <w:t xml:space="preserve">Check serum 25-hydroxyvitamin D level at least 1 month preoperatively. </w:t>
      </w:r>
    </w:p>
    <w:p w14:paraId="3DAA7AFD" w14:textId="7CE9FF8C" w:rsidR="000A25EF" w:rsidRDefault="00F47B3A" w:rsidP="00F47B3A">
      <w:pPr>
        <w:pStyle w:val="ListParagraph"/>
        <w:numPr>
          <w:ilvl w:val="0"/>
          <w:numId w:val="1"/>
        </w:numPr>
      </w:pPr>
      <w:r>
        <w:t>Give stoss dose cholecalciferol 150,000 IU if</w:t>
      </w:r>
      <w:r w:rsidR="000A25EF">
        <w:t xml:space="preserve"> serum 25-hydroxyvitamin D is &lt;</w:t>
      </w:r>
      <w:r w:rsidR="000175EB">
        <w:t xml:space="preserve">50 </w:t>
      </w:r>
      <w:r>
        <w:t>nmol/</w:t>
      </w:r>
      <w:r w:rsidR="000A25EF">
        <w:t>L</w:t>
      </w:r>
      <w:r>
        <w:t xml:space="preserve">. </w:t>
      </w:r>
    </w:p>
    <w:p w14:paraId="3BFE70AF" w14:textId="2CBB3218" w:rsidR="00F47B3A" w:rsidRDefault="00F47B3A" w:rsidP="00F47B3A">
      <w:pPr>
        <w:pStyle w:val="ListParagraph"/>
        <w:numPr>
          <w:ilvl w:val="0"/>
          <w:numId w:val="1"/>
        </w:numPr>
      </w:pPr>
      <w:r>
        <w:t xml:space="preserve">If &lt;12 months </w:t>
      </w:r>
      <w:r w:rsidR="006232D4">
        <w:t xml:space="preserve">old, refer to RCH vitamin D guideline for treatment: </w:t>
      </w:r>
      <w:r>
        <w:t>(</w:t>
      </w:r>
      <w:hyperlink r:id="rId7" w:history="1">
        <w:r w:rsidR="0022717B" w:rsidRPr="000C0E71">
          <w:rPr>
            <w:rStyle w:val="Hyperlink"/>
          </w:rPr>
          <w:t>https://www.rch.org.au/clinicalguide/guideline_index/Vitamin_D_deficiency/</w:t>
        </w:r>
      </w:hyperlink>
      <w:r>
        <w:t>)</w:t>
      </w:r>
    </w:p>
    <w:p w14:paraId="0726A522" w14:textId="2643417A" w:rsidR="0022717B" w:rsidRDefault="0022717B" w:rsidP="0022717B">
      <w:pPr>
        <w:pStyle w:val="ListParagraph"/>
        <w:numPr>
          <w:ilvl w:val="0"/>
          <w:numId w:val="1"/>
        </w:numPr>
      </w:pPr>
      <w:r>
        <w:t>Surgical team to inform inpatient endocrinology team on the day of surgery</w:t>
      </w:r>
    </w:p>
    <w:p w14:paraId="147C6074" w14:textId="4D9F1BFB" w:rsidR="00D33468" w:rsidRDefault="00D33468"/>
    <w:p w14:paraId="779A3ED5" w14:textId="21A6D333" w:rsidR="00D33468" w:rsidRPr="00B63350" w:rsidRDefault="00D33468">
      <w:pPr>
        <w:rPr>
          <w:b/>
        </w:rPr>
      </w:pPr>
      <w:r w:rsidRPr="00B63350">
        <w:rPr>
          <w:b/>
        </w:rPr>
        <w:t>2. Postoperative management</w:t>
      </w:r>
    </w:p>
    <w:p w14:paraId="27EC33A7" w14:textId="6F83785B" w:rsidR="0022717B" w:rsidRDefault="006232D4">
      <w:r>
        <w:t>Inpatient endocrinology team will assess and manage patients regarding hypocalcaemia.</w:t>
      </w:r>
    </w:p>
    <w:p w14:paraId="184DAC03" w14:textId="77777777" w:rsidR="0022717B" w:rsidRDefault="0022717B"/>
    <w:p w14:paraId="0C549B53" w14:textId="200265FF" w:rsidR="00B63350" w:rsidRDefault="00B63350" w:rsidP="00D158E4">
      <w:pPr>
        <w:rPr>
          <w:u w:val="single"/>
        </w:rPr>
      </w:pPr>
      <w:r w:rsidRPr="00B63350">
        <w:rPr>
          <w:u w:val="single"/>
        </w:rPr>
        <w:t xml:space="preserve">a. </w:t>
      </w:r>
      <w:r w:rsidR="000A25EF">
        <w:rPr>
          <w:u w:val="single"/>
        </w:rPr>
        <w:t>Determine if high risk or</w:t>
      </w:r>
      <w:r w:rsidR="00D33468" w:rsidRPr="00B63350">
        <w:rPr>
          <w:u w:val="single"/>
        </w:rPr>
        <w:t xml:space="preserve"> low risk patient.</w:t>
      </w:r>
    </w:p>
    <w:p w14:paraId="170F9C64" w14:textId="77777777" w:rsidR="000175EB" w:rsidRPr="00D158E4" w:rsidRDefault="000175EB" w:rsidP="00D158E4">
      <w:pPr>
        <w:rPr>
          <w:u w:val="single"/>
        </w:rPr>
      </w:pPr>
    </w:p>
    <w:p w14:paraId="73D3E3B7" w14:textId="144A9576" w:rsidR="00D33468" w:rsidRPr="005E3DFA" w:rsidRDefault="00D33468" w:rsidP="005E3DFA">
      <w:pPr>
        <w:pStyle w:val="ListParagraph"/>
        <w:numPr>
          <w:ilvl w:val="0"/>
          <w:numId w:val="10"/>
        </w:numPr>
        <w:jc w:val="both"/>
        <w:rPr>
          <w:rFonts w:cs="Arial"/>
        </w:rPr>
      </w:pPr>
      <w:r w:rsidRPr="005E3DFA">
        <w:rPr>
          <w:rFonts w:cs="Arial"/>
        </w:rPr>
        <w:t xml:space="preserve">High risk patients are those who meets criteria for one of the following: </w:t>
      </w:r>
    </w:p>
    <w:p w14:paraId="22D3E123" w14:textId="77777777" w:rsidR="00D33468" w:rsidRDefault="00D33468" w:rsidP="004A390A">
      <w:pPr>
        <w:pStyle w:val="ListParagraph"/>
        <w:numPr>
          <w:ilvl w:val="0"/>
          <w:numId w:val="11"/>
        </w:numPr>
        <w:jc w:val="both"/>
        <w:rPr>
          <w:rFonts w:cs="Arial"/>
        </w:rPr>
      </w:pPr>
      <w:r w:rsidRPr="00171922">
        <w:rPr>
          <w:rFonts w:cs="Arial"/>
        </w:rPr>
        <w:t>Parathyroidectomy</w:t>
      </w:r>
    </w:p>
    <w:p w14:paraId="3570C6B8" w14:textId="77777777" w:rsidR="00D33468" w:rsidRDefault="00D33468" w:rsidP="004A390A">
      <w:pPr>
        <w:pStyle w:val="ListParagraph"/>
        <w:numPr>
          <w:ilvl w:val="0"/>
          <w:numId w:val="11"/>
        </w:numPr>
        <w:jc w:val="both"/>
        <w:rPr>
          <w:rFonts w:cs="Arial"/>
        </w:rPr>
      </w:pPr>
      <w:r>
        <w:rPr>
          <w:rFonts w:cs="Arial"/>
        </w:rPr>
        <w:t>P</w:t>
      </w:r>
      <w:r w:rsidRPr="00171922">
        <w:rPr>
          <w:rFonts w:cs="Arial"/>
        </w:rPr>
        <w:t>arathyroid tissue damage or devascularisation/reimplantation</w:t>
      </w:r>
    </w:p>
    <w:p w14:paraId="428453DD" w14:textId="77777777" w:rsidR="00D33468" w:rsidRDefault="00D33468" w:rsidP="004A390A">
      <w:pPr>
        <w:pStyle w:val="ListParagraph"/>
        <w:numPr>
          <w:ilvl w:val="0"/>
          <w:numId w:val="11"/>
        </w:numPr>
        <w:jc w:val="both"/>
        <w:rPr>
          <w:rFonts w:cs="Arial"/>
        </w:rPr>
      </w:pPr>
      <w:r>
        <w:rPr>
          <w:rFonts w:cs="Arial"/>
        </w:rPr>
        <w:t>L</w:t>
      </w:r>
      <w:r w:rsidRPr="00171922">
        <w:rPr>
          <w:rFonts w:cs="Arial"/>
        </w:rPr>
        <w:t>ymph node or central dissection</w:t>
      </w:r>
    </w:p>
    <w:p w14:paraId="69922903" w14:textId="77777777" w:rsidR="00D33468" w:rsidRDefault="00D33468" w:rsidP="004A390A">
      <w:pPr>
        <w:pStyle w:val="ListParagraph"/>
        <w:numPr>
          <w:ilvl w:val="0"/>
          <w:numId w:val="11"/>
        </w:numPr>
        <w:jc w:val="both"/>
        <w:rPr>
          <w:rFonts w:cs="Arial"/>
        </w:rPr>
      </w:pPr>
      <w:r>
        <w:rPr>
          <w:rFonts w:cs="Arial"/>
        </w:rPr>
        <w:t>H</w:t>
      </w:r>
      <w:r w:rsidRPr="00171922">
        <w:rPr>
          <w:rFonts w:cs="Arial"/>
        </w:rPr>
        <w:t>yperthyroidism</w:t>
      </w:r>
    </w:p>
    <w:p w14:paraId="273C4F3A" w14:textId="77777777" w:rsidR="00D33468" w:rsidRPr="00171922" w:rsidRDefault="00D33468" w:rsidP="004A390A">
      <w:pPr>
        <w:pStyle w:val="ListParagraph"/>
        <w:numPr>
          <w:ilvl w:val="0"/>
          <w:numId w:val="11"/>
        </w:numPr>
        <w:jc w:val="both"/>
        <w:rPr>
          <w:rFonts w:cs="Arial"/>
        </w:rPr>
      </w:pPr>
      <w:r>
        <w:rPr>
          <w:rFonts w:cs="Arial"/>
        </w:rPr>
        <w:t>Y</w:t>
      </w:r>
      <w:r w:rsidRPr="00171922">
        <w:rPr>
          <w:rFonts w:cs="Arial"/>
        </w:rPr>
        <w:t>oung age (</w:t>
      </w:r>
      <w:r w:rsidRPr="00202C3E">
        <w:sym w:font="Symbol" w:char="F0A3"/>
      </w:r>
      <w:r w:rsidRPr="00171922">
        <w:rPr>
          <w:rFonts w:cs="Arial"/>
        </w:rPr>
        <w:t xml:space="preserve"> 6 years of age).</w:t>
      </w:r>
    </w:p>
    <w:p w14:paraId="74F5E566" w14:textId="38548615" w:rsidR="005E3DFA" w:rsidRDefault="005E3DFA"/>
    <w:p w14:paraId="5AE861F2" w14:textId="0D1A651E" w:rsidR="000175EB" w:rsidRDefault="00B63350" w:rsidP="000175EB">
      <w:pPr>
        <w:rPr>
          <w:u w:val="single"/>
        </w:rPr>
      </w:pPr>
      <w:r w:rsidRPr="00B63350">
        <w:rPr>
          <w:u w:val="single"/>
        </w:rPr>
        <w:t xml:space="preserve">b. </w:t>
      </w:r>
      <w:r w:rsidR="000175EB">
        <w:rPr>
          <w:u w:val="single"/>
        </w:rPr>
        <w:t>Check serum calcium and PTH 6 hours postop</w:t>
      </w:r>
    </w:p>
    <w:p w14:paraId="32068089" w14:textId="2451894C" w:rsidR="00266FFA" w:rsidRDefault="00266FFA" w:rsidP="000175EB">
      <w:pPr>
        <w:rPr>
          <w:i/>
        </w:rPr>
      </w:pPr>
      <w:r w:rsidRPr="00266FFA">
        <w:rPr>
          <w:i/>
        </w:rPr>
        <w:t>(refer to page 4 for interpretation of PTH)</w:t>
      </w:r>
    </w:p>
    <w:p w14:paraId="670CE872" w14:textId="77777777" w:rsidR="00E91E0A" w:rsidRPr="00266FFA" w:rsidRDefault="00E91E0A" w:rsidP="000175EB">
      <w:pPr>
        <w:rPr>
          <w:i/>
        </w:rPr>
      </w:pPr>
    </w:p>
    <w:p w14:paraId="28114FA9" w14:textId="11DC69B6" w:rsidR="00F64710" w:rsidRDefault="000A25EF" w:rsidP="00D33468">
      <w:pPr>
        <w:pStyle w:val="ListParagraph"/>
        <w:numPr>
          <w:ilvl w:val="0"/>
          <w:numId w:val="2"/>
        </w:numPr>
        <w:jc w:val="both"/>
      </w:pPr>
      <w:r w:rsidRPr="000A25EF">
        <w:rPr>
          <w:i/>
        </w:rPr>
        <w:t>For all patients</w:t>
      </w:r>
      <w:r>
        <w:t>, start p</w:t>
      </w:r>
      <w:r w:rsidR="00D33468">
        <w:t>rophylactic calcium orally once patient is able to tolerate oral intake within 12 hours postoperatively.</w:t>
      </w:r>
      <w:r w:rsidR="00F64710">
        <w:t xml:space="preserve"> </w:t>
      </w:r>
    </w:p>
    <w:p w14:paraId="31DDA742" w14:textId="19B737C5" w:rsidR="00D33468" w:rsidRDefault="00F64710" w:rsidP="00D33468">
      <w:pPr>
        <w:pStyle w:val="ListParagraph"/>
        <w:numPr>
          <w:ilvl w:val="0"/>
          <w:numId w:val="2"/>
        </w:numPr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7E562" wp14:editId="680A4EC5">
                <wp:simplePos x="0" y="0"/>
                <wp:positionH relativeFrom="column">
                  <wp:posOffset>0</wp:posOffset>
                </wp:positionH>
                <wp:positionV relativeFrom="paragraph">
                  <wp:posOffset>480911</wp:posOffset>
                </wp:positionV>
                <wp:extent cx="5734050" cy="1828800"/>
                <wp:effectExtent l="0" t="0" r="19050" b="1714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12D95" w14:textId="77777777" w:rsidR="0075074C" w:rsidRDefault="0075074C" w:rsidP="0075074C">
                            <w:pPr>
                              <w:jc w:val="both"/>
                            </w:pPr>
                            <w:r>
                              <w:t>Suggested oral calcium doses:</w:t>
                            </w:r>
                          </w:p>
                          <w:p w14:paraId="03BE9668" w14:textId="77777777" w:rsidR="0075074C" w:rsidRDefault="0075074C" w:rsidP="007507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>
                              <w:t xml:space="preserve">If weight &lt; 30 kg, give elemental calcium 600 mg BID </w:t>
                            </w:r>
                          </w:p>
                          <w:p w14:paraId="419CCF33" w14:textId="7920A8E1" w:rsidR="0075074C" w:rsidRDefault="0075074C" w:rsidP="007507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>
                              <w:t>If weight 30</w:t>
                            </w:r>
                            <w:r w:rsidR="00F64710">
                              <w:t>-49</w:t>
                            </w:r>
                            <w:r>
                              <w:t xml:space="preserve"> kg, give elemental calcium 1200 mg BID</w:t>
                            </w:r>
                          </w:p>
                          <w:p w14:paraId="1B0E3EF9" w14:textId="52237E6D" w:rsidR="00F64710" w:rsidRDefault="00F64710" w:rsidP="00F647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>
                              <w:t>If weight &gt; 50 kg, give elemental calcium 1200 mg TDS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E7E56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37.85pt;width:451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 style="mso-fit-shape-to-text:t">
                  <w:txbxContent>
                    <w:p w14:paraId="71812D95" w14:textId="77777777" w:rsidR="0075074C" w:rsidRDefault="0075074C" w:rsidP="0075074C">
                      <w:pPr>
                        <w:jc w:val="both"/>
                      </w:pPr>
                      <w:r>
                        <w:t>Suggested oral calcium doses:</w:t>
                      </w:r>
                    </w:p>
                    <w:p w14:paraId="03BE9668" w14:textId="77777777" w:rsidR="0075074C" w:rsidRDefault="0075074C" w:rsidP="007507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</w:pPr>
                      <w:r>
                        <w:t xml:space="preserve">If weight &lt; 30 kg, give elemental calcium 600 mg BID </w:t>
                      </w:r>
                    </w:p>
                    <w:p w14:paraId="419CCF33" w14:textId="7920A8E1" w:rsidR="0075074C" w:rsidRDefault="0075074C" w:rsidP="007507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</w:pPr>
                      <w:r>
                        <w:t>If weight 30</w:t>
                      </w:r>
                      <w:r w:rsidR="00F64710">
                        <w:t>-49</w:t>
                      </w:r>
                      <w:r>
                        <w:t xml:space="preserve"> kg, give elemental calcium 1200 mg BID</w:t>
                      </w:r>
                    </w:p>
                    <w:p w14:paraId="1B0E3EF9" w14:textId="52237E6D" w:rsidR="00F64710" w:rsidRDefault="00F64710" w:rsidP="00F6471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</w:pPr>
                      <w:r>
                        <w:t>If weight &gt; 50 kg, give elemental calcium 1200 mg TDS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Please also chart a PRN calcium and calcitriol dose </w:t>
      </w:r>
      <w:proofErr w:type="spellStart"/>
      <w:r>
        <w:t>dose</w:t>
      </w:r>
      <w:proofErr w:type="spellEnd"/>
      <w:r>
        <w:t xml:space="preserve"> for symptomatic hypocalcaemia as per the weight/age guidelines below.</w:t>
      </w:r>
    </w:p>
    <w:p w14:paraId="4AEA911D" w14:textId="1C51DB07" w:rsidR="00B63350" w:rsidRDefault="00B63350" w:rsidP="00B63350">
      <w:pPr>
        <w:jc w:val="both"/>
      </w:pPr>
    </w:p>
    <w:p w14:paraId="1ED57E09" w14:textId="2B3084C5" w:rsidR="00D33468" w:rsidRDefault="0075074C" w:rsidP="00D33468">
      <w:pPr>
        <w:pStyle w:val="ListParagraph"/>
        <w:numPr>
          <w:ilvl w:val="0"/>
          <w:numId w:val="2"/>
        </w:numPr>
        <w:jc w:val="both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47056" wp14:editId="46CABBC3">
                <wp:simplePos x="0" y="0"/>
                <wp:positionH relativeFrom="column">
                  <wp:posOffset>35415</wp:posOffset>
                </wp:positionH>
                <wp:positionV relativeFrom="paragraph">
                  <wp:posOffset>454660</wp:posOffset>
                </wp:positionV>
                <wp:extent cx="5741035" cy="1828800"/>
                <wp:effectExtent l="0" t="0" r="12065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DC5B9" w14:textId="77777777" w:rsidR="0075074C" w:rsidRDefault="0075074C" w:rsidP="0075074C">
                            <w:pPr>
                              <w:jc w:val="both"/>
                            </w:pPr>
                            <w:r>
                              <w:t>Suggested starting Calcitriol doses:</w:t>
                            </w:r>
                          </w:p>
                          <w:p w14:paraId="16F72AB8" w14:textId="77777777" w:rsidR="0075074C" w:rsidRDefault="0075074C" w:rsidP="007507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Age 1-5 years: Calcitriol 0.25 mcg BID</w:t>
                            </w:r>
                          </w:p>
                          <w:p w14:paraId="232E8686" w14:textId="77777777" w:rsidR="0075074C" w:rsidRDefault="0075074C" w:rsidP="007507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Age 6-10 years: Calcitriol 0.5 mcg BID</w:t>
                            </w:r>
                          </w:p>
                          <w:p w14:paraId="4AEB8690" w14:textId="77777777" w:rsidR="0075074C" w:rsidRDefault="0075074C" w:rsidP="007507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>
                              <w:t>Age &gt; 10 years and adults: Calcitriol 1 mcg BID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47056" id="Text Box 2" o:spid="_x0000_s1027" type="#_x0000_t202" style="position:absolute;left:0;text-align:left;margin-left:2.8pt;margin-top:35.8pt;width:452.0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 style="mso-fit-shape-to-text:t">
                  <w:txbxContent>
                    <w:p w14:paraId="40DDC5B9" w14:textId="77777777" w:rsidR="0075074C" w:rsidRDefault="0075074C" w:rsidP="0075074C">
                      <w:pPr>
                        <w:jc w:val="both"/>
                      </w:pPr>
                      <w:r>
                        <w:t>Suggested starting Calcitriol doses:</w:t>
                      </w:r>
                    </w:p>
                    <w:p w14:paraId="16F72AB8" w14:textId="77777777" w:rsidR="0075074C" w:rsidRDefault="0075074C" w:rsidP="007507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Age 1-5 years: Calcitriol 0.25 mcg BID</w:t>
                      </w:r>
                    </w:p>
                    <w:p w14:paraId="232E8686" w14:textId="77777777" w:rsidR="0075074C" w:rsidRDefault="0075074C" w:rsidP="007507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Age 6-10 years: Calcitriol 0.5 mcg BID</w:t>
                      </w:r>
                    </w:p>
                    <w:p w14:paraId="4AEB8690" w14:textId="77777777" w:rsidR="0075074C" w:rsidRDefault="0075074C" w:rsidP="007507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</w:pPr>
                      <w:r>
                        <w:t>Age &gt; 10 years and adults: Calcitriol 1 mcg BID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3468">
        <w:t xml:space="preserve">If </w:t>
      </w:r>
      <w:r w:rsidR="00D33468" w:rsidRPr="000A25EF">
        <w:rPr>
          <w:i/>
        </w:rPr>
        <w:t>high risk patient</w:t>
      </w:r>
      <w:r w:rsidR="00D33468">
        <w:t xml:space="preserve"> or if patient develops </w:t>
      </w:r>
      <w:r w:rsidR="00D33468" w:rsidRPr="000A25EF">
        <w:rPr>
          <w:i/>
        </w:rPr>
        <w:t>hypocalcaemia</w:t>
      </w:r>
      <w:r w:rsidR="00D33468">
        <w:t xml:space="preserve"> (total calcium &lt; 2.0 mmol/L or ionised calcium &lt; 0.9 mmol/L), add calcitriol treatment:</w:t>
      </w:r>
    </w:p>
    <w:p w14:paraId="56A6321F" w14:textId="70892781" w:rsidR="0075074C" w:rsidRDefault="0075074C" w:rsidP="00B63350">
      <w:pPr>
        <w:jc w:val="both"/>
      </w:pPr>
    </w:p>
    <w:p w14:paraId="1DFB39C5" w14:textId="2211768F" w:rsidR="00A619A8" w:rsidRDefault="00D33468" w:rsidP="00D33468">
      <w:pPr>
        <w:pStyle w:val="ListParagraph"/>
        <w:numPr>
          <w:ilvl w:val="0"/>
          <w:numId w:val="2"/>
        </w:numPr>
        <w:jc w:val="both"/>
      </w:pPr>
      <w:r>
        <w:t xml:space="preserve">If patient develops </w:t>
      </w:r>
      <w:r w:rsidRPr="00A619A8">
        <w:rPr>
          <w:i/>
        </w:rPr>
        <w:t>symptoms of hypocalcaemia</w:t>
      </w:r>
      <w:r>
        <w:t xml:space="preserve"> (mild: muscle spasms or cramps, numbness or tingling </w:t>
      </w:r>
      <w:proofErr w:type="spellStart"/>
      <w:r>
        <w:t>periorally</w:t>
      </w:r>
      <w:proofErr w:type="spellEnd"/>
      <w:r>
        <w:t xml:space="preserve"> or in the extremities, fatigue; severe: tetany, seizures, laryngospasm, ar</w:t>
      </w:r>
      <w:r w:rsidR="00A619A8">
        <w:t>rhythmia (prolonged QRS or QT):</w:t>
      </w:r>
    </w:p>
    <w:p w14:paraId="7ED71405" w14:textId="090689D2" w:rsidR="00D33468" w:rsidRDefault="00A619A8" w:rsidP="00A619A8">
      <w:pPr>
        <w:pStyle w:val="ListParagraph"/>
        <w:numPr>
          <w:ilvl w:val="1"/>
          <w:numId w:val="2"/>
        </w:numPr>
        <w:jc w:val="both"/>
      </w:pPr>
      <w:r>
        <w:t>C</w:t>
      </w:r>
      <w:r w:rsidR="00D33468">
        <w:t>heck serum calcium and magnesium levels immediately.</w:t>
      </w:r>
    </w:p>
    <w:p w14:paraId="5AE1EB38" w14:textId="714BAE3D" w:rsidR="00A619A8" w:rsidRDefault="00A619A8" w:rsidP="00A619A8">
      <w:pPr>
        <w:pStyle w:val="ListParagraph"/>
        <w:numPr>
          <w:ilvl w:val="1"/>
          <w:numId w:val="2"/>
        </w:numPr>
        <w:jc w:val="both"/>
      </w:pPr>
      <w:r>
        <w:t xml:space="preserve">Start </w:t>
      </w:r>
      <w:r w:rsidR="00D158E4">
        <w:t xml:space="preserve">oral </w:t>
      </w:r>
      <w:r>
        <w:t>calcium and calcitriol as per high risk patient</w:t>
      </w:r>
      <w:r w:rsidR="00F64710">
        <w:t xml:space="preserve"> or give PRN calcium/calcitriol as per charted PRN dose</w:t>
      </w:r>
      <w:r>
        <w:t>.</w:t>
      </w:r>
    </w:p>
    <w:p w14:paraId="03C15E9A" w14:textId="253C5FFE" w:rsidR="00A619A8" w:rsidRDefault="00A619A8" w:rsidP="00A619A8">
      <w:pPr>
        <w:pStyle w:val="ListParagraph"/>
        <w:numPr>
          <w:ilvl w:val="1"/>
          <w:numId w:val="2"/>
        </w:numPr>
        <w:jc w:val="both"/>
      </w:pPr>
      <w:r>
        <w:t>If patient already on calcium and calcitriol, doses may be increased:</w:t>
      </w:r>
    </w:p>
    <w:p w14:paraId="183B536A" w14:textId="279341B6" w:rsidR="00A619A8" w:rsidRDefault="00A619A8" w:rsidP="00A619A8">
      <w:pPr>
        <w:pStyle w:val="ListParagraph"/>
        <w:numPr>
          <w:ilvl w:val="2"/>
          <w:numId w:val="2"/>
        </w:numPr>
        <w:jc w:val="both"/>
      </w:pPr>
      <w:r>
        <w:t>Elemental calcium up to 150 mg/kg/day</w:t>
      </w:r>
    </w:p>
    <w:p w14:paraId="493B2D9F" w14:textId="6CADFF49" w:rsidR="00A619A8" w:rsidRDefault="00A619A8" w:rsidP="00A619A8">
      <w:pPr>
        <w:pStyle w:val="ListParagraph"/>
        <w:numPr>
          <w:ilvl w:val="2"/>
          <w:numId w:val="2"/>
        </w:numPr>
        <w:jc w:val="both"/>
      </w:pPr>
      <w:r>
        <w:t>Calcitriol up to 100 ng/kg/day</w:t>
      </w:r>
    </w:p>
    <w:p w14:paraId="67E64A88" w14:textId="21742E74" w:rsidR="004405B0" w:rsidRDefault="004405B0" w:rsidP="00D33468">
      <w:pPr>
        <w:pStyle w:val="ListParagraph"/>
        <w:numPr>
          <w:ilvl w:val="1"/>
          <w:numId w:val="2"/>
        </w:numPr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543461" wp14:editId="24080579">
                <wp:simplePos x="0" y="0"/>
                <wp:positionH relativeFrom="column">
                  <wp:posOffset>45865</wp:posOffset>
                </wp:positionH>
                <wp:positionV relativeFrom="paragraph">
                  <wp:posOffset>405765</wp:posOffset>
                </wp:positionV>
                <wp:extent cx="1828800" cy="1828800"/>
                <wp:effectExtent l="0" t="0" r="19050" b="1333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6306E" w14:textId="46D849EA" w:rsidR="004405B0" w:rsidRDefault="004405B0" w:rsidP="004405B0">
                            <w:pPr>
                              <w:jc w:val="both"/>
                            </w:pPr>
                            <w:r>
                              <w:t>Suggested IV calcium doses:</w:t>
                            </w:r>
                          </w:p>
                          <w:p w14:paraId="363CAA74" w14:textId="77777777" w:rsidR="004405B0" w:rsidRDefault="004405B0" w:rsidP="004405B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  <w:r>
                              <w:t>IV bolus: 10% calcium gluconate solution 0.5 mL/kg (0.11 mmol/kg of calcium ions), give diluted solution slowly over 20-60 minutes.</w:t>
                            </w:r>
                          </w:p>
                          <w:p w14:paraId="5063EA59" w14:textId="77777777" w:rsidR="004405B0" w:rsidRDefault="004405B0" w:rsidP="004405B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  <w:r>
                              <w:t>IV infusion: 10% calcium gluconate solution 4.5 mL/kg/day (1 mmol/kg/day of calcium ions), continuous infusion using an infusion pump.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43461" id="Text Box 3" o:spid="_x0000_s1028" type="#_x0000_t202" style="position:absolute;left:0;text-align:left;margin-left:3.6pt;margin-top:31.9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 style="mso-fit-shape-to-text:t">
                  <w:txbxContent>
                    <w:p w14:paraId="08C6306E" w14:textId="46D849EA" w:rsidR="004405B0" w:rsidRDefault="004405B0" w:rsidP="004405B0">
                      <w:pPr>
                        <w:jc w:val="both"/>
                      </w:pPr>
                      <w:r>
                        <w:t>Suggested IV calcium doses:</w:t>
                      </w:r>
                    </w:p>
                    <w:p w14:paraId="363CAA74" w14:textId="77777777" w:rsidR="004405B0" w:rsidRDefault="004405B0" w:rsidP="004405B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</w:pPr>
                      <w:r>
                        <w:t>IV bolus: 10% calcium gluconate solution 0.5 mL/kg (0.11 mmol/kg of calcium ions), give diluted solution slowly over 20-60 minutes.</w:t>
                      </w:r>
                    </w:p>
                    <w:p w14:paraId="5063EA59" w14:textId="77777777" w:rsidR="004405B0" w:rsidRDefault="004405B0" w:rsidP="004405B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</w:pPr>
                      <w:r>
                        <w:t>IV infusion: 10% calcium gluconate solution 4.5 mL/kg/day (1 mmol/kg/day of calcium ions), continuous infusion using an infusion pump.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3468">
        <w:t>Only consider IV calcium replacement if oral is not possible due to risk of cutaneous necrosis with extravasation.</w:t>
      </w:r>
    </w:p>
    <w:p w14:paraId="0126CA59" w14:textId="77777777" w:rsidR="004405B0" w:rsidRDefault="004405B0" w:rsidP="004405B0">
      <w:pPr>
        <w:pStyle w:val="ListParagraph"/>
        <w:ind w:left="1800"/>
        <w:jc w:val="both"/>
      </w:pPr>
    </w:p>
    <w:p w14:paraId="0B7CE579" w14:textId="1BECEB58" w:rsidR="006232D4" w:rsidRPr="00D158E4" w:rsidRDefault="00B63350" w:rsidP="00D158E4">
      <w:pPr>
        <w:jc w:val="both"/>
        <w:rPr>
          <w:u w:val="single"/>
        </w:rPr>
      </w:pPr>
      <w:r w:rsidRPr="00B63350">
        <w:rPr>
          <w:u w:val="single"/>
        </w:rPr>
        <w:t xml:space="preserve">c. </w:t>
      </w:r>
      <w:r w:rsidR="000175EB">
        <w:rPr>
          <w:u w:val="single"/>
        </w:rPr>
        <w:t>Check serum calcium 12 hours postop</w:t>
      </w:r>
    </w:p>
    <w:p w14:paraId="1CC0699B" w14:textId="77777777" w:rsidR="00B63350" w:rsidRDefault="00B63350" w:rsidP="00B63350">
      <w:pPr>
        <w:pStyle w:val="ListParagraph"/>
        <w:jc w:val="both"/>
      </w:pPr>
    </w:p>
    <w:p w14:paraId="435ED0EC" w14:textId="39B8BC18" w:rsidR="00B63350" w:rsidRDefault="00B63350" w:rsidP="00B63350">
      <w:pPr>
        <w:pStyle w:val="ListParagraph"/>
        <w:numPr>
          <w:ilvl w:val="0"/>
          <w:numId w:val="6"/>
        </w:numPr>
        <w:jc w:val="both"/>
      </w:pPr>
      <w:r>
        <w:t xml:space="preserve">Patients who developed clinical or biochemical hypocalcaemia: </w:t>
      </w:r>
    </w:p>
    <w:p w14:paraId="1EF07F1F" w14:textId="0C414B34" w:rsidR="00B63350" w:rsidRDefault="00B63350" w:rsidP="00B63350">
      <w:pPr>
        <w:pStyle w:val="ListParagraph"/>
        <w:numPr>
          <w:ilvl w:val="1"/>
          <w:numId w:val="6"/>
        </w:numPr>
        <w:jc w:val="both"/>
      </w:pPr>
      <w:r>
        <w:t xml:space="preserve">Consider discharge once symptoms of hypocalcaemia resolved and total serum calcium levels are </w:t>
      </w:r>
      <w:r>
        <w:sym w:font="Symbol" w:char="F0B3"/>
      </w:r>
      <w:r>
        <w:t xml:space="preserve"> 2.0 mmol/L on 3 consecutive checks.</w:t>
      </w:r>
    </w:p>
    <w:p w14:paraId="24E3EC59" w14:textId="03890896" w:rsidR="00B63350" w:rsidRDefault="00B63350" w:rsidP="00B63350">
      <w:pPr>
        <w:pStyle w:val="ListParagraph"/>
        <w:numPr>
          <w:ilvl w:val="1"/>
          <w:numId w:val="6"/>
        </w:numPr>
        <w:jc w:val="both"/>
      </w:pPr>
      <w:r>
        <w:t xml:space="preserve">If the patient develops hypocalcaemia and/or requires calcium and/or calcitriol doses beyond the above suggested guides, ongoing discharge planning should be individualised as per the inpatient endocrinology team. </w:t>
      </w:r>
    </w:p>
    <w:p w14:paraId="340AFEF6" w14:textId="77777777" w:rsidR="00B63350" w:rsidRPr="00663C98" w:rsidRDefault="00B63350" w:rsidP="00B63350">
      <w:pPr>
        <w:pStyle w:val="ListParagraph"/>
        <w:ind w:left="1440"/>
        <w:jc w:val="both"/>
      </w:pPr>
    </w:p>
    <w:p w14:paraId="130B4F99" w14:textId="2736E41D" w:rsidR="00D33468" w:rsidRDefault="00B63350" w:rsidP="00D33468">
      <w:pPr>
        <w:pStyle w:val="ListParagraph"/>
        <w:numPr>
          <w:ilvl w:val="0"/>
          <w:numId w:val="6"/>
        </w:numPr>
        <w:jc w:val="both"/>
      </w:pPr>
      <w:r>
        <w:t>High risk patients without hypocalcaemia</w:t>
      </w:r>
      <w:r w:rsidR="006D1BF8">
        <w:t>:</w:t>
      </w:r>
    </w:p>
    <w:p w14:paraId="73565CB5" w14:textId="262A71A3" w:rsidR="00B63350" w:rsidRDefault="00694AA4" w:rsidP="00B63350">
      <w:pPr>
        <w:pStyle w:val="ListParagraph"/>
        <w:numPr>
          <w:ilvl w:val="1"/>
          <w:numId w:val="6"/>
        </w:numPr>
        <w:jc w:val="both"/>
      </w:pPr>
      <w:r>
        <w:t>C</w:t>
      </w:r>
      <w:r w:rsidR="00B63350">
        <w:t xml:space="preserve">onsider discharge if serum calcium </w:t>
      </w:r>
      <w:r w:rsidR="00B63350">
        <w:sym w:font="Symbol" w:char="F0B3"/>
      </w:r>
      <w:r w:rsidR="00B63350">
        <w:t xml:space="preserve"> 2.0 mmol/L and surgically cleared.</w:t>
      </w:r>
    </w:p>
    <w:p w14:paraId="24BCDEF6" w14:textId="72C23BDA" w:rsidR="00B63350" w:rsidRDefault="00B63350" w:rsidP="00B63350">
      <w:pPr>
        <w:pStyle w:val="ListParagraph"/>
        <w:numPr>
          <w:ilvl w:val="1"/>
          <w:numId w:val="6"/>
        </w:numPr>
        <w:jc w:val="both"/>
      </w:pPr>
      <w:r>
        <w:t>Recheck calcium 2-3 days after discharge</w:t>
      </w:r>
    </w:p>
    <w:p w14:paraId="16213BC2" w14:textId="17C68229" w:rsidR="00B63350" w:rsidRDefault="00B63350" w:rsidP="00B63350">
      <w:pPr>
        <w:pStyle w:val="ListParagraph"/>
        <w:numPr>
          <w:ilvl w:val="1"/>
          <w:numId w:val="6"/>
        </w:numPr>
        <w:jc w:val="both"/>
      </w:pPr>
      <w:r>
        <w:t xml:space="preserve">Check serum calcium levels 2-3 days after discharge. If normal, check serum calcium levels weekly. If calcium remains within normal ranges, halve the Calcitriol or Calcium dose weekly until the patient is off both medications. </w:t>
      </w:r>
    </w:p>
    <w:p w14:paraId="46ED3BF0" w14:textId="77777777" w:rsidR="00B63350" w:rsidRDefault="00B63350" w:rsidP="00B63350">
      <w:pPr>
        <w:pStyle w:val="ListParagraph"/>
        <w:ind w:left="1440"/>
        <w:jc w:val="both"/>
      </w:pPr>
    </w:p>
    <w:p w14:paraId="1C5C8F5F" w14:textId="7FD9FDE7" w:rsidR="00B63350" w:rsidRDefault="00B63350" w:rsidP="00B63350">
      <w:pPr>
        <w:pStyle w:val="ListParagraph"/>
        <w:numPr>
          <w:ilvl w:val="0"/>
          <w:numId w:val="6"/>
        </w:numPr>
        <w:jc w:val="both"/>
      </w:pPr>
      <w:r>
        <w:t>Low risk patients without hypocalcaemia</w:t>
      </w:r>
      <w:r w:rsidR="006D1BF8">
        <w:t>:</w:t>
      </w:r>
    </w:p>
    <w:p w14:paraId="0FC0EECA" w14:textId="372B7C45" w:rsidR="00B63350" w:rsidRDefault="006D1BF8" w:rsidP="00B63350">
      <w:pPr>
        <w:pStyle w:val="ListParagraph"/>
        <w:numPr>
          <w:ilvl w:val="1"/>
          <w:numId w:val="6"/>
        </w:numPr>
        <w:jc w:val="both"/>
      </w:pPr>
      <w:r>
        <w:t>C</w:t>
      </w:r>
      <w:r w:rsidR="00B63350">
        <w:t xml:space="preserve">onsider discharge if serum calcium </w:t>
      </w:r>
      <w:r w:rsidR="00B63350">
        <w:sym w:font="Symbol" w:char="F0B3"/>
      </w:r>
      <w:r w:rsidR="00B63350">
        <w:t xml:space="preserve"> 2.0 mmol/L and surgically cleared.</w:t>
      </w:r>
    </w:p>
    <w:p w14:paraId="7DC5B5A2" w14:textId="43EFFC1E" w:rsidR="004405B0" w:rsidRPr="00D158E4" w:rsidRDefault="00B63350" w:rsidP="00D158E4">
      <w:pPr>
        <w:pStyle w:val="ListParagraph"/>
        <w:numPr>
          <w:ilvl w:val="1"/>
          <w:numId w:val="6"/>
        </w:numPr>
        <w:jc w:val="both"/>
      </w:pPr>
      <w:r>
        <w:t xml:space="preserve">Check serum calcium levels weekly. If calcium remains within normal ranges, halve the calcium dose weekly until they reach calcium carbonate 600 mg daily, </w:t>
      </w:r>
      <w:bookmarkStart w:id="0" w:name="_GoBack"/>
      <w:bookmarkEnd w:id="0"/>
      <w:r>
        <w:t>then cease calcium if serum calcium level is normal 1 week after.</w:t>
      </w:r>
      <w:r w:rsidR="004405B0" w:rsidRPr="00D158E4">
        <w:rPr>
          <w:b/>
        </w:rPr>
        <w:br w:type="page"/>
      </w:r>
    </w:p>
    <w:p w14:paraId="653439C1" w14:textId="005967E3" w:rsidR="00D0716A" w:rsidRPr="00C54FEC" w:rsidRDefault="00C54FEC">
      <w:pPr>
        <w:rPr>
          <w:b/>
        </w:rPr>
      </w:pPr>
      <w:r w:rsidRPr="00C54FEC">
        <w:rPr>
          <w:b/>
        </w:rPr>
        <w:lastRenderedPageBreak/>
        <w:t>Summary pathway for the management of post-thyroidectomy patients</w:t>
      </w:r>
    </w:p>
    <w:p w14:paraId="7617F026" w14:textId="2FAABE93" w:rsidR="00B63350" w:rsidRDefault="004E7292" w:rsidP="004557B0">
      <w:pPr>
        <w:jc w:val="both"/>
      </w:pPr>
      <w:r>
        <w:rPr>
          <w:noProof/>
        </w:rPr>
        <w:drawing>
          <wp:inline distT="0" distB="0" distL="0" distR="0" wp14:anchorId="445DD542" wp14:editId="7139FF25">
            <wp:extent cx="5727700" cy="826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thyroidectomy pathway RCH v2 07042019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97460" w14:textId="77777777" w:rsidR="00D0716A" w:rsidRDefault="00D0716A" w:rsidP="00D0716A">
      <w:pPr>
        <w:jc w:val="both"/>
        <w:rPr>
          <w:rFonts w:cs="Arial"/>
          <w:b/>
        </w:rPr>
      </w:pPr>
    </w:p>
    <w:p w14:paraId="55C9E976" w14:textId="77777777" w:rsidR="00D0716A" w:rsidRDefault="00D0716A" w:rsidP="00D0716A">
      <w:pPr>
        <w:jc w:val="both"/>
        <w:rPr>
          <w:rFonts w:cs="Arial"/>
          <w:b/>
        </w:rPr>
      </w:pPr>
    </w:p>
    <w:p w14:paraId="42F353CB" w14:textId="77777777" w:rsidR="00D0716A" w:rsidRDefault="00D0716A" w:rsidP="00D0716A">
      <w:pPr>
        <w:jc w:val="both"/>
        <w:rPr>
          <w:rFonts w:cs="Arial"/>
          <w:b/>
        </w:rPr>
      </w:pPr>
    </w:p>
    <w:p w14:paraId="0DDB9E21" w14:textId="3E0E3AD2" w:rsidR="00D0716A" w:rsidRPr="00202C3E" w:rsidRDefault="00D0716A" w:rsidP="00D0716A">
      <w:pPr>
        <w:jc w:val="both"/>
        <w:rPr>
          <w:rFonts w:cs="Arial"/>
          <w:b/>
        </w:rPr>
      </w:pPr>
      <w:r w:rsidRPr="00202C3E">
        <w:rPr>
          <w:rFonts w:cs="Arial"/>
          <w:b/>
        </w:rPr>
        <w:t>Notes:</w:t>
      </w:r>
    </w:p>
    <w:p w14:paraId="3D4E21F1" w14:textId="77777777" w:rsidR="00D0716A" w:rsidRPr="00202C3E" w:rsidRDefault="00D0716A" w:rsidP="00D0716A">
      <w:pPr>
        <w:jc w:val="both"/>
        <w:rPr>
          <w:rFonts w:cs="Arial"/>
          <w:b/>
        </w:rPr>
      </w:pPr>
    </w:p>
    <w:p w14:paraId="7978FF1A" w14:textId="77777777" w:rsidR="00D0716A" w:rsidRPr="00202C3E" w:rsidRDefault="00D0716A" w:rsidP="00D0716A">
      <w:pPr>
        <w:numPr>
          <w:ilvl w:val="0"/>
          <w:numId w:val="9"/>
        </w:numPr>
        <w:jc w:val="both"/>
        <w:rPr>
          <w:rFonts w:cs="Arial"/>
        </w:rPr>
      </w:pPr>
      <w:r w:rsidRPr="00202C3E">
        <w:rPr>
          <w:rFonts w:cs="Arial"/>
        </w:rPr>
        <w:t>PTH testing with a timely turnover is not available in many centres and is therefore not likely to guide immediate treatment. However, once available, it can guide future management. A PTH of &gt; 2.</w:t>
      </w:r>
      <w:r>
        <w:rPr>
          <w:rFonts w:cs="Arial"/>
        </w:rPr>
        <w:t>1</w:t>
      </w:r>
      <w:r w:rsidRPr="00202C3E">
        <w:rPr>
          <w:rFonts w:cs="Arial"/>
        </w:rPr>
        <w:t xml:space="preserve"> pmol/L in a normocalcaemic patient is reassuring. PTH of &lt; 1.</w:t>
      </w:r>
      <w:r>
        <w:rPr>
          <w:rFonts w:cs="Arial"/>
        </w:rPr>
        <w:t>6</w:t>
      </w:r>
      <w:r w:rsidRPr="00202C3E">
        <w:rPr>
          <w:rFonts w:cs="Arial"/>
        </w:rPr>
        <w:t xml:space="preserve"> pmol/L is associated with higher risk of hypoparathyroidism and requires more intensive monitoring and slower wean of supplements. Clinical discretion should be used for PTH levels between 1.</w:t>
      </w:r>
      <w:r>
        <w:rPr>
          <w:rFonts w:cs="Arial"/>
        </w:rPr>
        <w:t>6</w:t>
      </w:r>
      <w:r w:rsidRPr="00202C3E">
        <w:rPr>
          <w:rFonts w:cs="Arial"/>
        </w:rPr>
        <w:t xml:space="preserve"> to 2.</w:t>
      </w:r>
      <w:r>
        <w:rPr>
          <w:rFonts w:cs="Arial"/>
        </w:rPr>
        <w:t>1</w:t>
      </w:r>
      <w:r w:rsidRPr="00202C3E">
        <w:rPr>
          <w:rFonts w:cs="Arial"/>
        </w:rPr>
        <w:t xml:space="preserve"> pmol/L in a normocalcaemic patient.</w:t>
      </w:r>
    </w:p>
    <w:p w14:paraId="31DF7F82" w14:textId="77777777" w:rsidR="00D0716A" w:rsidRPr="00202C3E" w:rsidRDefault="00D0716A" w:rsidP="00D0716A">
      <w:pPr>
        <w:numPr>
          <w:ilvl w:val="0"/>
          <w:numId w:val="9"/>
        </w:numPr>
        <w:jc w:val="both"/>
        <w:rPr>
          <w:rFonts w:cs="Arial"/>
        </w:rPr>
      </w:pPr>
      <w:r w:rsidRPr="00202C3E">
        <w:rPr>
          <w:rFonts w:cs="Arial"/>
        </w:rPr>
        <w:t>High risk patients: Parathyroidectomy, parathyroid tissue damage or devascularisation/reimplantation, lymph node or central dissection, hyperthyroidism, young age (</w:t>
      </w:r>
      <w:r w:rsidRPr="00202C3E">
        <w:rPr>
          <w:rFonts w:cs="Arial"/>
        </w:rPr>
        <w:sym w:font="Symbol" w:char="F0A3"/>
      </w:r>
      <w:r w:rsidRPr="00202C3E">
        <w:rPr>
          <w:rFonts w:cs="Arial"/>
        </w:rPr>
        <w:t xml:space="preserve"> 6 years of age).</w:t>
      </w:r>
      <w:r>
        <w:rPr>
          <w:rFonts w:cs="Arial"/>
        </w:rPr>
        <w:t xml:space="preserve"> </w:t>
      </w:r>
    </w:p>
    <w:p w14:paraId="662B69D4" w14:textId="3CC961F0" w:rsidR="00D0716A" w:rsidRDefault="00D0716A" w:rsidP="00D0716A">
      <w:pPr>
        <w:pStyle w:val="ListParagraph"/>
        <w:numPr>
          <w:ilvl w:val="0"/>
          <w:numId w:val="9"/>
        </w:numPr>
        <w:jc w:val="both"/>
      </w:pPr>
      <w:r>
        <w:t>Calcium dose is e</w:t>
      </w:r>
      <w:r w:rsidRPr="000813B4">
        <w:t>lemental calcium 50</w:t>
      </w:r>
      <w:r>
        <w:t>-150</w:t>
      </w:r>
      <w:r w:rsidRPr="000813B4">
        <w:t xml:space="preserve"> mg/kg/day in 2 divided doses, up to an adult dose of elemental calcium 1</w:t>
      </w:r>
      <w:r>
        <w:t>.2</w:t>
      </w:r>
      <w:r w:rsidRPr="000813B4">
        <w:t xml:space="preserve">g </w:t>
      </w:r>
      <w:r w:rsidR="00F64710">
        <w:t>TDS</w:t>
      </w:r>
      <w:r>
        <w:t xml:space="preserve"> orally. As a guide: </w:t>
      </w:r>
    </w:p>
    <w:p w14:paraId="2A87CE6C" w14:textId="77777777" w:rsidR="00D0716A" w:rsidRDefault="00D0716A" w:rsidP="00D0716A">
      <w:pPr>
        <w:pStyle w:val="ListParagraph"/>
        <w:ind w:left="1440"/>
        <w:jc w:val="both"/>
      </w:pPr>
      <w:r>
        <w:t xml:space="preserve">If weight &lt; 30 kg, give elemental calcium 600 mg BID </w:t>
      </w:r>
    </w:p>
    <w:p w14:paraId="3706C7FF" w14:textId="14BEF800" w:rsidR="00D0716A" w:rsidRDefault="00D0716A" w:rsidP="00D0716A">
      <w:pPr>
        <w:pStyle w:val="ListParagraph"/>
        <w:ind w:left="1440"/>
        <w:jc w:val="both"/>
      </w:pPr>
      <w:r>
        <w:t>If weight 30</w:t>
      </w:r>
      <w:r w:rsidR="00F64710">
        <w:t xml:space="preserve"> - 49</w:t>
      </w:r>
      <w:r>
        <w:t xml:space="preserve"> kg, give elemental calcium 1200 mg BID</w:t>
      </w:r>
    </w:p>
    <w:p w14:paraId="60683EA7" w14:textId="69F904EC" w:rsidR="00F64710" w:rsidRDefault="00F64710" w:rsidP="00B12FD7">
      <w:pPr>
        <w:pStyle w:val="ListParagraph"/>
        <w:ind w:firstLine="720"/>
        <w:jc w:val="both"/>
      </w:pPr>
      <w:r>
        <w:t>If weight &gt; 50 kg, give elemental calcium 1200 mg TDS</w:t>
      </w:r>
    </w:p>
    <w:p w14:paraId="1A335569" w14:textId="1AFEDE33" w:rsidR="00D0716A" w:rsidRDefault="00D0716A" w:rsidP="00D0716A">
      <w:pPr>
        <w:pStyle w:val="ListParagraph"/>
        <w:numPr>
          <w:ilvl w:val="0"/>
          <w:numId w:val="9"/>
        </w:numPr>
        <w:jc w:val="both"/>
      </w:pPr>
      <w:r>
        <w:t xml:space="preserve">Calcitriol </w:t>
      </w:r>
      <w:r w:rsidR="00F64710">
        <w:t>(up to 100</w:t>
      </w:r>
      <w:r>
        <w:t xml:space="preserve"> </w:t>
      </w:r>
      <w:r w:rsidR="00F64710">
        <w:t>n</w:t>
      </w:r>
      <w:r>
        <w:t xml:space="preserve">g/kg/day should be started postoperatively for high risk patients or hypocalcaemic patients as soon as possible </w:t>
      </w:r>
      <w:r w:rsidRPr="00027EEA">
        <w:rPr>
          <w:i/>
        </w:rPr>
        <w:t>in addition</w:t>
      </w:r>
      <w:r>
        <w:t xml:space="preserve"> to oral calcium carbonate as detailed above. As a guide:</w:t>
      </w:r>
    </w:p>
    <w:p w14:paraId="3E605378" w14:textId="77777777" w:rsidR="00D0716A" w:rsidRDefault="00D0716A" w:rsidP="00D0716A">
      <w:pPr>
        <w:pStyle w:val="ListParagraph"/>
        <w:ind w:left="1440"/>
        <w:jc w:val="both"/>
      </w:pPr>
      <w:r>
        <w:t>Age 1-5 years: Calcitriol 0.25 mcg BID</w:t>
      </w:r>
    </w:p>
    <w:p w14:paraId="106EF086" w14:textId="77777777" w:rsidR="00D0716A" w:rsidRDefault="00D0716A" w:rsidP="00D0716A">
      <w:pPr>
        <w:pStyle w:val="ListParagraph"/>
        <w:ind w:left="1440"/>
        <w:jc w:val="both"/>
      </w:pPr>
      <w:r>
        <w:t>Age 6-10 years: Calcitriol 0.5 mcg BID</w:t>
      </w:r>
    </w:p>
    <w:p w14:paraId="0B0DF490" w14:textId="77777777" w:rsidR="00D0716A" w:rsidRDefault="00D0716A" w:rsidP="00D0716A">
      <w:pPr>
        <w:pStyle w:val="ListParagraph"/>
        <w:ind w:left="1440"/>
        <w:jc w:val="both"/>
      </w:pPr>
      <w:r>
        <w:t>Age &gt; 10 years and adults: Calcitriol 1 mcg BID</w:t>
      </w:r>
    </w:p>
    <w:p w14:paraId="316BEE69" w14:textId="1DD02115" w:rsidR="00D0716A" w:rsidRDefault="00BC0FA0" w:rsidP="00D0716A">
      <w:pPr>
        <w:ind w:left="720"/>
        <w:jc w:val="both"/>
      </w:pPr>
      <w:r>
        <w:t>If patient is hypocalcaemic</w:t>
      </w:r>
      <w:r w:rsidR="00D0716A">
        <w:t xml:space="preserve"> and unable to tolerate oral treatment, IV calcium correction should be considered. </w:t>
      </w:r>
    </w:p>
    <w:p w14:paraId="14A61188" w14:textId="3E9F1CCD" w:rsidR="00D0716A" w:rsidRDefault="00D0716A" w:rsidP="00D0716A">
      <w:pPr>
        <w:pStyle w:val="ListParagraph"/>
        <w:numPr>
          <w:ilvl w:val="0"/>
          <w:numId w:val="9"/>
        </w:numPr>
        <w:jc w:val="both"/>
      </w:pPr>
      <w:r>
        <w:t xml:space="preserve">Symptoms of hypocalcaemia </w:t>
      </w:r>
      <w:r w:rsidR="00F9286B">
        <w:t>includes</w:t>
      </w:r>
      <w:r>
        <w:t xml:space="preserve"> muscle spasms or cramps, numbness or tingling </w:t>
      </w:r>
      <w:proofErr w:type="spellStart"/>
      <w:r>
        <w:t>periorally</w:t>
      </w:r>
      <w:proofErr w:type="spellEnd"/>
      <w:r>
        <w:t xml:space="preserve"> or in the extremities, fatigue, tetany, seizures, laryngospasm, arrhythmia (prolonged QRS or QT).</w:t>
      </w:r>
    </w:p>
    <w:p w14:paraId="41FB4AA6" w14:textId="77777777" w:rsidR="00D0716A" w:rsidRDefault="00D0716A" w:rsidP="00D0716A">
      <w:pPr>
        <w:jc w:val="both"/>
      </w:pPr>
    </w:p>
    <w:p w14:paraId="606B9DA4" w14:textId="77777777" w:rsidR="00D0716A" w:rsidRDefault="00D0716A" w:rsidP="00D0716A">
      <w:pPr>
        <w:jc w:val="both"/>
      </w:pPr>
      <w:r>
        <w:t>Ca</w:t>
      </w:r>
      <w:r>
        <w:tab/>
      </w:r>
      <w:r>
        <w:tab/>
        <w:t>Calcium</w:t>
      </w:r>
    </w:p>
    <w:p w14:paraId="1B8B8687" w14:textId="77777777" w:rsidR="00D0716A" w:rsidRDefault="00D0716A" w:rsidP="00D0716A">
      <w:pPr>
        <w:jc w:val="both"/>
      </w:pPr>
      <w:r>
        <w:t>PTH</w:t>
      </w:r>
      <w:r>
        <w:tab/>
      </w:r>
      <w:r>
        <w:tab/>
        <w:t>Parathyroid hormone</w:t>
      </w:r>
    </w:p>
    <w:p w14:paraId="27E77979" w14:textId="762BEACC" w:rsidR="00D0716A" w:rsidRDefault="00D0716A" w:rsidP="004557B0">
      <w:pPr>
        <w:jc w:val="both"/>
      </w:pPr>
    </w:p>
    <w:p w14:paraId="4F534FA5" w14:textId="77777777" w:rsidR="00D33468" w:rsidRDefault="00D33468"/>
    <w:p w14:paraId="1B36266D" w14:textId="77777777" w:rsidR="00F47B3A" w:rsidRDefault="00F47B3A"/>
    <w:p w14:paraId="2FCD94D3" w14:textId="77777777" w:rsidR="00F47B3A" w:rsidRDefault="00F47B3A"/>
    <w:sectPr w:rsidR="00F47B3A" w:rsidSect="006B3C8B">
      <w:footerReference w:type="even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C0BAE" w14:textId="77777777" w:rsidR="00795306" w:rsidRDefault="00795306" w:rsidP="0075074C">
      <w:r>
        <w:separator/>
      </w:r>
    </w:p>
  </w:endnote>
  <w:endnote w:type="continuationSeparator" w:id="0">
    <w:p w14:paraId="2D1F2C8E" w14:textId="77777777" w:rsidR="00795306" w:rsidRDefault="00795306" w:rsidP="00750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1296953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7C1038" w14:textId="6376AD5E" w:rsidR="0075074C" w:rsidRDefault="0075074C" w:rsidP="000C0E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D65B5E" w14:textId="77777777" w:rsidR="0075074C" w:rsidRDefault="0075074C" w:rsidP="007507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D49DF" w14:textId="6459B29D" w:rsidR="0075074C" w:rsidRDefault="00EC5609" w:rsidP="000C0E7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sdt>
      <w:sdtPr>
        <w:rPr>
          <w:rStyle w:val="PageNumber"/>
        </w:rPr>
        <w:id w:val="-194968376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75074C">
          <w:rPr>
            <w:rStyle w:val="PageNumber"/>
          </w:rPr>
          <w:fldChar w:fldCharType="begin"/>
        </w:r>
        <w:r w:rsidR="0075074C">
          <w:rPr>
            <w:rStyle w:val="PageNumber"/>
          </w:rPr>
          <w:instrText xml:space="preserve"> PAGE </w:instrText>
        </w:r>
        <w:r w:rsidR="0075074C">
          <w:rPr>
            <w:rStyle w:val="PageNumber"/>
          </w:rPr>
          <w:fldChar w:fldCharType="separate"/>
        </w:r>
        <w:r w:rsidR="00BC0FA0">
          <w:rPr>
            <w:rStyle w:val="PageNumber"/>
            <w:noProof/>
          </w:rPr>
          <w:t>3</w:t>
        </w:r>
        <w:r w:rsidR="0075074C">
          <w:rPr>
            <w:rStyle w:val="PageNumber"/>
          </w:rPr>
          <w:fldChar w:fldCharType="end"/>
        </w:r>
      </w:sdtContent>
    </w:sdt>
  </w:p>
  <w:p w14:paraId="4079A936" w14:textId="11AE1E9E" w:rsidR="0075074C" w:rsidRPr="00EC5609" w:rsidRDefault="00EC5609" w:rsidP="0075074C">
    <w:pPr>
      <w:pStyle w:val="Footer"/>
      <w:ind w:right="360"/>
      <w:rPr>
        <w:sz w:val="16"/>
        <w:szCs w:val="16"/>
      </w:rPr>
    </w:pPr>
    <w:r w:rsidRPr="00EC5609">
      <w:rPr>
        <w:sz w:val="16"/>
        <w:szCs w:val="16"/>
      </w:rPr>
      <w:t xml:space="preserve">Version 1 </w:t>
    </w:r>
  </w:p>
  <w:p w14:paraId="5FD953C3" w14:textId="6FA5730B" w:rsidR="00EC5609" w:rsidRPr="00EC5609" w:rsidRDefault="00EC5609" w:rsidP="0075074C">
    <w:pPr>
      <w:pStyle w:val="Footer"/>
      <w:ind w:right="360"/>
      <w:rPr>
        <w:sz w:val="16"/>
        <w:szCs w:val="16"/>
      </w:rPr>
    </w:pPr>
    <w:r w:rsidRPr="00EC5609">
      <w:rPr>
        <w:sz w:val="16"/>
        <w:szCs w:val="16"/>
      </w:rPr>
      <w:t>15/05/2019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3494C" w14:textId="77777777" w:rsidR="00795306" w:rsidRDefault="00795306" w:rsidP="0075074C">
      <w:r>
        <w:separator/>
      </w:r>
    </w:p>
  </w:footnote>
  <w:footnote w:type="continuationSeparator" w:id="0">
    <w:p w14:paraId="0EA69716" w14:textId="77777777" w:rsidR="00795306" w:rsidRDefault="00795306" w:rsidP="00750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57295"/>
    <w:multiLevelType w:val="hybridMultilevel"/>
    <w:tmpl w:val="CE763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644B"/>
    <w:multiLevelType w:val="hybridMultilevel"/>
    <w:tmpl w:val="63FE6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F4E8B"/>
    <w:multiLevelType w:val="hybridMultilevel"/>
    <w:tmpl w:val="DDE65D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5E5457"/>
    <w:multiLevelType w:val="hybridMultilevel"/>
    <w:tmpl w:val="A13272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42507E"/>
    <w:multiLevelType w:val="hybridMultilevel"/>
    <w:tmpl w:val="7DF474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AD24C4"/>
    <w:multiLevelType w:val="hybridMultilevel"/>
    <w:tmpl w:val="56E2859E"/>
    <w:lvl w:ilvl="0" w:tplc="EE70E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D61AA"/>
    <w:multiLevelType w:val="hybridMultilevel"/>
    <w:tmpl w:val="40C2A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F7BDA"/>
    <w:multiLevelType w:val="hybridMultilevel"/>
    <w:tmpl w:val="7B10763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870CFE"/>
    <w:multiLevelType w:val="hybridMultilevel"/>
    <w:tmpl w:val="EB0CD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6025E"/>
    <w:multiLevelType w:val="hybridMultilevel"/>
    <w:tmpl w:val="4C0AABD6"/>
    <w:lvl w:ilvl="0" w:tplc="EE70E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32D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AEA0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9A2B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C2B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9433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5C26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F08E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9AFE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D24A20"/>
    <w:multiLevelType w:val="hybridMultilevel"/>
    <w:tmpl w:val="F7807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9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B3A"/>
    <w:rsid w:val="000175EB"/>
    <w:rsid w:val="000A25EF"/>
    <w:rsid w:val="000D1353"/>
    <w:rsid w:val="0011130A"/>
    <w:rsid w:val="0022717B"/>
    <w:rsid w:val="00263D35"/>
    <w:rsid w:val="00266FFA"/>
    <w:rsid w:val="00286BE9"/>
    <w:rsid w:val="002C060A"/>
    <w:rsid w:val="003E1AF9"/>
    <w:rsid w:val="004405B0"/>
    <w:rsid w:val="004557B0"/>
    <w:rsid w:val="004A390A"/>
    <w:rsid w:val="004C4CF0"/>
    <w:rsid w:val="004E7292"/>
    <w:rsid w:val="00565473"/>
    <w:rsid w:val="005A6636"/>
    <w:rsid w:val="005C015C"/>
    <w:rsid w:val="005E3DFA"/>
    <w:rsid w:val="006232D4"/>
    <w:rsid w:val="00694AA4"/>
    <w:rsid w:val="006B3C8B"/>
    <w:rsid w:val="006D1BF8"/>
    <w:rsid w:val="0075074C"/>
    <w:rsid w:val="00772371"/>
    <w:rsid w:val="00795306"/>
    <w:rsid w:val="008A1BA4"/>
    <w:rsid w:val="008A31AA"/>
    <w:rsid w:val="008B24B8"/>
    <w:rsid w:val="008F7CB3"/>
    <w:rsid w:val="00900B3C"/>
    <w:rsid w:val="009F7650"/>
    <w:rsid w:val="00A23363"/>
    <w:rsid w:val="00A619A8"/>
    <w:rsid w:val="00B12FD7"/>
    <w:rsid w:val="00B63350"/>
    <w:rsid w:val="00BC0FA0"/>
    <w:rsid w:val="00C54FEC"/>
    <w:rsid w:val="00D0716A"/>
    <w:rsid w:val="00D158E4"/>
    <w:rsid w:val="00D33468"/>
    <w:rsid w:val="00D878C6"/>
    <w:rsid w:val="00E91E0A"/>
    <w:rsid w:val="00EC5609"/>
    <w:rsid w:val="00ED5D2A"/>
    <w:rsid w:val="00F47B3A"/>
    <w:rsid w:val="00F64710"/>
    <w:rsid w:val="00F765FF"/>
    <w:rsid w:val="00F9286B"/>
    <w:rsid w:val="00FD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16DF7"/>
  <w15:chartTrackingRefBased/>
  <w15:docId w15:val="{DB030C06-C895-6C4E-AD27-E7644625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B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B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717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717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7507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74C"/>
  </w:style>
  <w:style w:type="character" w:styleId="PageNumber">
    <w:name w:val="page number"/>
    <w:basedOn w:val="DefaultParagraphFont"/>
    <w:uiPriority w:val="99"/>
    <w:semiHidden/>
    <w:unhideWhenUsed/>
    <w:rsid w:val="0075074C"/>
  </w:style>
  <w:style w:type="paragraph" w:styleId="BalloonText">
    <w:name w:val="Balloon Text"/>
    <w:basedOn w:val="Normal"/>
    <w:link w:val="BalloonTextChar"/>
    <w:uiPriority w:val="99"/>
    <w:semiHidden/>
    <w:unhideWhenUsed/>
    <w:rsid w:val="004E729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292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56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6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s://www.rch.org.au/clinicalguide/guideline_index/Vitamin_D_deficiency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Kao</dc:creator>
  <cp:keywords/>
  <dc:description/>
  <cp:lastModifiedBy>Jeff Kao</cp:lastModifiedBy>
  <cp:revision>6</cp:revision>
  <dcterms:created xsi:type="dcterms:W3CDTF">2019-04-14T05:37:00Z</dcterms:created>
  <dcterms:modified xsi:type="dcterms:W3CDTF">2019-05-15T04:18:00Z</dcterms:modified>
</cp:coreProperties>
</file>