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2B55A" w14:textId="77777777" w:rsidR="00E91D72" w:rsidRPr="001564DC" w:rsidRDefault="00EF7750" w:rsidP="00E91D72">
      <w:pPr>
        <w:rPr>
          <w:rFonts w:asciiTheme="majorHAnsi" w:hAnsiTheme="majorHAnsi" w:cstheme="majorHAnsi"/>
          <w:b/>
          <w:sz w:val="32"/>
          <w:szCs w:val="32"/>
        </w:rPr>
      </w:pPr>
      <w:bookmarkStart w:id="0" w:name="_GoBack"/>
      <w:bookmarkEnd w:id="0"/>
      <w:r w:rsidRPr="001564DC">
        <w:rPr>
          <w:rFonts w:asciiTheme="majorHAnsi" w:hAnsiTheme="majorHAnsi" w:cstheme="majorHAnsi"/>
          <w:b/>
          <w:color w:val="000000"/>
          <w:sz w:val="32"/>
          <w:szCs w:val="32"/>
        </w:rPr>
        <w:t xml:space="preserve">CLINICAL PRACTICE GUIDELINES </w:t>
      </w:r>
      <w:r w:rsidR="00E91D72" w:rsidRPr="001564DC">
        <w:rPr>
          <w:rFonts w:asciiTheme="majorHAnsi" w:hAnsiTheme="majorHAnsi" w:cstheme="majorHAnsi"/>
          <w:b/>
          <w:sz w:val="32"/>
          <w:szCs w:val="32"/>
        </w:rPr>
        <w:t xml:space="preserve">– </w:t>
      </w:r>
      <w:r w:rsidR="00895684" w:rsidRPr="001564DC">
        <w:rPr>
          <w:rFonts w:asciiTheme="majorHAnsi" w:hAnsiTheme="majorHAnsi" w:cstheme="majorHAnsi"/>
          <w:b/>
          <w:sz w:val="32"/>
          <w:szCs w:val="32"/>
        </w:rPr>
        <w:t xml:space="preserve">TOXICOLOGY </w:t>
      </w:r>
      <w:r w:rsidR="00E91D72" w:rsidRPr="001564DC">
        <w:rPr>
          <w:rFonts w:asciiTheme="majorHAnsi" w:hAnsiTheme="majorHAnsi" w:cstheme="majorHAnsi"/>
          <w:b/>
          <w:sz w:val="32"/>
          <w:szCs w:val="32"/>
        </w:rPr>
        <w:t xml:space="preserve">TEMPLATE </w:t>
      </w:r>
      <w:r w:rsidR="00A43009" w:rsidRPr="001564DC">
        <w:rPr>
          <w:rFonts w:asciiTheme="majorHAnsi" w:hAnsiTheme="majorHAnsi" w:cstheme="majorHAnsi"/>
          <w:b/>
          <w:sz w:val="32"/>
          <w:szCs w:val="32"/>
        </w:rPr>
        <w:tab/>
        <w:t>FOR PIC</w:t>
      </w:r>
    </w:p>
    <w:p w14:paraId="6CF42F5C" w14:textId="77777777" w:rsidR="00EF7750" w:rsidRPr="001564DC" w:rsidRDefault="00EF7750">
      <w:pPr>
        <w:rPr>
          <w:rFonts w:asciiTheme="majorHAnsi" w:hAnsiTheme="majorHAnsi" w:cstheme="majorHAnsi"/>
          <w:b/>
          <w:color w:val="000000"/>
        </w:rPr>
      </w:pPr>
    </w:p>
    <w:p w14:paraId="6EC9CB63" w14:textId="77777777" w:rsidR="00EF7750" w:rsidRPr="001564DC" w:rsidRDefault="00EF7750">
      <w:pPr>
        <w:rPr>
          <w:rFonts w:asciiTheme="majorHAnsi" w:hAnsiTheme="majorHAnsi" w:cstheme="majorHAnsi"/>
          <w:b/>
          <w:color w:val="000000"/>
        </w:rPr>
      </w:pPr>
    </w:p>
    <w:p w14:paraId="4E8C959E" w14:textId="77777777" w:rsidR="00EF7750" w:rsidRPr="001564DC" w:rsidRDefault="00EF7750">
      <w:pPr>
        <w:rPr>
          <w:rFonts w:asciiTheme="majorHAnsi" w:hAnsiTheme="majorHAnsi" w:cstheme="majorHAnsi"/>
          <w:b/>
          <w:color w:val="000000"/>
        </w:rPr>
      </w:pPr>
    </w:p>
    <w:p w14:paraId="0254A399" w14:textId="25AD389A" w:rsidR="00EF7750" w:rsidRPr="001564DC" w:rsidRDefault="00EF7750">
      <w:pPr>
        <w:rPr>
          <w:rFonts w:asciiTheme="majorHAnsi" w:hAnsiTheme="majorHAnsi" w:cstheme="majorHAnsi"/>
          <w:b/>
          <w:color w:val="000000"/>
          <w:sz w:val="36"/>
          <w:szCs w:val="36"/>
        </w:rPr>
      </w:pPr>
      <w:r w:rsidRPr="001564DC">
        <w:rPr>
          <w:rFonts w:asciiTheme="majorHAnsi" w:hAnsiTheme="majorHAnsi" w:cstheme="majorHAnsi"/>
          <w:b/>
          <w:color w:val="000000"/>
          <w:sz w:val="36"/>
          <w:szCs w:val="36"/>
        </w:rPr>
        <w:t xml:space="preserve">Title: </w:t>
      </w:r>
      <w:proofErr w:type="spellStart"/>
      <w:r w:rsidR="008E7ECE" w:rsidRPr="001564DC">
        <w:rPr>
          <w:rFonts w:asciiTheme="majorHAnsi" w:hAnsiTheme="majorHAnsi" w:cstheme="majorHAnsi"/>
          <w:b/>
          <w:color w:val="00B050"/>
          <w:sz w:val="36"/>
          <w:szCs w:val="36"/>
        </w:rPr>
        <w:t>xxxxx</w:t>
      </w:r>
      <w:proofErr w:type="spellEnd"/>
      <w:r w:rsidR="008E7ECE" w:rsidRPr="001564DC">
        <w:rPr>
          <w:rFonts w:asciiTheme="majorHAnsi" w:hAnsiTheme="majorHAnsi" w:cstheme="majorHAnsi"/>
          <w:b/>
          <w:color w:val="000000"/>
          <w:sz w:val="36"/>
          <w:szCs w:val="36"/>
        </w:rPr>
        <w:t xml:space="preserve"> </w:t>
      </w:r>
      <w:r w:rsidR="00BC74BD">
        <w:rPr>
          <w:rFonts w:asciiTheme="majorHAnsi" w:hAnsiTheme="majorHAnsi" w:cstheme="majorHAnsi"/>
          <w:b/>
          <w:color w:val="000000"/>
          <w:sz w:val="36"/>
          <w:szCs w:val="36"/>
        </w:rPr>
        <w:t>P</w:t>
      </w:r>
      <w:r w:rsidRPr="001564DC">
        <w:rPr>
          <w:rFonts w:asciiTheme="majorHAnsi" w:hAnsiTheme="majorHAnsi" w:cstheme="majorHAnsi"/>
          <w:b/>
          <w:color w:val="000000"/>
          <w:sz w:val="36"/>
          <w:szCs w:val="36"/>
        </w:rPr>
        <w:t>oisoning</w:t>
      </w:r>
    </w:p>
    <w:p w14:paraId="0414C5DB" w14:textId="77777777" w:rsidR="00895684" w:rsidRPr="001564DC" w:rsidRDefault="00895684" w:rsidP="00895684">
      <w:pPr>
        <w:rPr>
          <w:rFonts w:asciiTheme="majorHAnsi" w:hAnsiTheme="majorHAnsi" w:cstheme="majorHAnsi"/>
          <w:b/>
          <w:sz w:val="36"/>
          <w:szCs w:val="36"/>
        </w:rPr>
      </w:pPr>
    </w:p>
    <w:p w14:paraId="2BF7088D" w14:textId="77777777" w:rsidR="00E91D72" w:rsidRPr="001564DC" w:rsidRDefault="00A43009" w:rsidP="00E91D72">
      <w:pPr>
        <w:rPr>
          <w:rFonts w:asciiTheme="majorHAnsi" w:hAnsiTheme="majorHAnsi" w:cstheme="majorHAnsi"/>
          <w:b/>
        </w:rPr>
      </w:pPr>
      <w:r w:rsidRPr="001564DC">
        <w:rPr>
          <w:rFonts w:asciiTheme="majorHAnsi" w:hAnsiTheme="majorHAnsi" w:cstheme="majorHAnsi"/>
          <w:b/>
          <w:noProof/>
          <w:sz w:val="36"/>
          <w:szCs w:val="36"/>
        </w:rPr>
        <w:drawing>
          <wp:inline distT="0" distB="0" distL="0" distR="0" wp14:anchorId="27A4112E" wp14:editId="5C33DAFD">
            <wp:extent cx="5274310" cy="598805"/>
            <wp:effectExtent l="0" t="0" r="2540" b="0"/>
            <wp:docPr id="7" name="Picture 7" descr="Z:\CPG Group\PIC - Paediatric Improvement Collaborative\Logos\PIC logo for CPG endors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PG Group\PIC - Paediatric Improvement Collaborative\Logos\PIC logo for CPG endorsemen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FD737" w14:textId="77777777" w:rsidR="00E91D72" w:rsidRPr="001564DC" w:rsidRDefault="00E91D72" w:rsidP="00E91D72">
      <w:pPr>
        <w:jc w:val="center"/>
        <w:rPr>
          <w:rFonts w:asciiTheme="majorHAnsi" w:hAnsiTheme="majorHAnsi" w:cstheme="majorHAnsi"/>
          <w:b/>
          <w:i/>
          <w:iCs/>
          <w:color w:val="00B0F0"/>
        </w:rPr>
      </w:pPr>
    </w:p>
    <w:p w14:paraId="5DC026F1" w14:textId="77777777" w:rsidR="00E91D72" w:rsidRPr="001564DC" w:rsidRDefault="00E91D72">
      <w:pPr>
        <w:rPr>
          <w:rFonts w:asciiTheme="majorHAnsi" w:hAnsiTheme="majorHAnsi" w:cstheme="majorHAnsi"/>
          <w:b/>
          <w:color w:val="000000"/>
        </w:rPr>
      </w:pPr>
    </w:p>
    <w:p w14:paraId="2FA2D87F" w14:textId="77777777" w:rsidR="005D5B29" w:rsidRPr="001564DC" w:rsidRDefault="00EF7750">
      <w:pPr>
        <w:rPr>
          <w:rFonts w:asciiTheme="majorHAnsi" w:hAnsiTheme="majorHAnsi" w:cstheme="majorHAnsi"/>
          <w:b/>
          <w:color w:val="C00000"/>
          <w:sz w:val="28"/>
          <w:szCs w:val="28"/>
        </w:rPr>
      </w:pPr>
      <w:r w:rsidRPr="001564DC">
        <w:rPr>
          <w:rFonts w:asciiTheme="majorHAnsi" w:hAnsiTheme="majorHAnsi" w:cstheme="majorHAnsi"/>
          <w:b/>
          <w:color w:val="C00000"/>
          <w:sz w:val="28"/>
          <w:szCs w:val="28"/>
        </w:rPr>
        <w:t>See also:</w:t>
      </w:r>
      <w:r w:rsidR="0036616A" w:rsidRPr="001564DC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 </w:t>
      </w:r>
    </w:p>
    <w:p w14:paraId="15585E06" w14:textId="77777777" w:rsidR="00895684" w:rsidRPr="001564DC" w:rsidRDefault="0036616A" w:rsidP="00895684">
      <w:pPr>
        <w:rPr>
          <w:rFonts w:asciiTheme="majorHAnsi" w:hAnsiTheme="majorHAnsi" w:cstheme="majorHAnsi"/>
          <w:b/>
        </w:rPr>
      </w:pPr>
      <w:r w:rsidRPr="001564DC">
        <w:rPr>
          <w:rFonts w:asciiTheme="majorHAnsi" w:hAnsiTheme="majorHAnsi" w:cstheme="majorHAnsi"/>
          <w:b/>
        </w:rPr>
        <w:t>List relevant CPGs including toxidromes</w:t>
      </w:r>
      <w:r w:rsidR="00895684" w:rsidRPr="001564DC">
        <w:rPr>
          <w:rFonts w:asciiTheme="majorHAnsi" w:hAnsiTheme="majorHAnsi" w:cstheme="majorHAnsi"/>
          <w:b/>
        </w:rPr>
        <w:t>, important state/national resources</w:t>
      </w:r>
    </w:p>
    <w:p w14:paraId="7A1BD681" w14:textId="77777777" w:rsidR="00EF7750" w:rsidRPr="001564DC" w:rsidRDefault="00895684" w:rsidP="00895684">
      <w:pPr>
        <w:rPr>
          <w:rFonts w:asciiTheme="majorHAnsi" w:hAnsiTheme="majorHAnsi" w:cstheme="majorHAnsi"/>
          <w:i/>
          <w:color w:val="00B050"/>
        </w:rPr>
      </w:pPr>
      <w:r w:rsidRPr="001564DC">
        <w:rPr>
          <w:rFonts w:asciiTheme="majorHAnsi" w:hAnsiTheme="majorHAnsi" w:cstheme="majorHAnsi"/>
          <w:b/>
        </w:rPr>
        <w:t>(further hyperlinks can be included in Additional notes at bottom)</w:t>
      </w:r>
    </w:p>
    <w:p w14:paraId="19011A43" w14:textId="77777777" w:rsidR="00FD4096" w:rsidRPr="001564DC" w:rsidRDefault="000C3E3B" w:rsidP="005729D5">
      <w:pPr>
        <w:rPr>
          <w:rFonts w:asciiTheme="majorHAnsi" w:hAnsiTheme="majorHAnsi" w:cstheme="majorHAnsi"/>
        </w:rPr>
      </w:pPr>
      <w:hyperlink r:id="rId6" w:history="1">
        <w:r w:rsidR="00FD4096" w:rsidRPr="001564DC">
          <w:rPr>
            <w:rStyle w:val="Hyperlink"/>
            <w:rFonts w:asciiTheme="majorHAnsi" w:hAnsiTheme="majorHAnsi" w:cstheme="majorHAnsi"/>
          </w:rPr>
          <w:t>Poisoning – Guidelines for initial management</w:t>
        </w:r>
      </w:hyperlink>
      <w:r w:rsidR="00FD4096" w:rsidRPr="001564DC">
        <w:rPr>
          <w:rFonts w:asciiTheme="majorHAnsi" w:hAnsiTheme="majorHAnsi" w:cstheme="majorHAnsi"/>
          <w:color w:val="000000"/>
        </w:rPr>
        <w:t>.</w:t>
      </w:r>
    </w:p>
    <w:p w14:paraId="5A593882" w14:textId="77777777" w:rsidR="00FD4096" w:rsidRPr="001564DC" w:rsidRDefault="000C3E3B" w:rsidP="00FD4096">
      <w:pPr>
        <w:rPr>
          <w:rFonts w:asciiTheme="majorHAnsi" w:hAnsiTheme="majorHAnsi" w:cstheme="majorHAnsi"/>
          <w:b/>
          <w:i/>
          <w:color w:val="000000"/>
        </w:rPr>
      </w:pPr>
      <w:hyperlink r:id="rId7" w:history="1">
        <w:r w:rsidR="00FD4096" w:rsidRPr="001564DC">
          <w:rPr>
            <w:rStyle w:val="Hyperlink"/>
            <w:rFonts w:asciiTheme="majorHAnsi" w:hAnsiTheme="majorHAnsi" w:cstheme="majorHAnsi"/>
          </w:rPr>
          <w:t>Resuscitation</w:t>
        </w:r>
      </w:hyperlink>
    </w:p>
    <w:p w14:paraId="2BD9A799" w14:textId="77777777" w:rsidR="00EF7750" w:rsidRPr="001564DC" w:rsidRDefault="00EF7750">
      <w:pPr>
        <w:rPr>
          <w:rFonts w:asciiTheme="majorHAnsi" w:hAnsiTheme="majorHAnsi" w:cstheme="majorHAnsi"/>
          <w:b/>
          <w:color w:val="FF0000"/>
        </w:rPr>
      </w:pPr>
    </w:p>
    <w:p w14:paraId="57FF604A" w14:textId="77777777" w:rsidR="00E91D72" w:rsidRPr="001564DC" w:rsidRDefault="00E91D72" w:rsidP="00895684">
      <w:pPr>
        <w:rPr>
          <w:rFonts w:asciiTheme="majorHAnsi" w:hAnsiTheme="majorHAnsi" w:cstheme="majorHAnsi"/>
          <w:b/>
          <w:color w:val="C00000"/>
          <w:sz w:val="28"/>
          <w:szCs w:val="28"/>
        </w:rPr>
      </w:pPr>
      <w:r w:rsidRPr="001564DC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Key Points </w:t>
      </w:r>
    </w:p>
    <w:p w14:paraId="7B1DCA33" w14:textId="77777777" w:rsidR="00895684" w:rsidRPr="001564DC" w:rsidRDefault="00895684" w:rsidP="00895684">
      <w:pPr>
        <w:pStyle w:val="NormalWeb"/>
        <w:numPr>
          <w:ilvl w:val="0"/>
          <w:numId w:val="3"/>
        </w:numPr>
        <w:shd w:val="clear" w:color="auto" w:fill="FFFFFF"/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>3-4 key points</w:t>
      </w:r>
    </w:p>
    <w:p w14:paraId="40E30621" w14:textId="77777777" w:rsidR="00895684" w:rsidRPr="001564DC" w:rsidRDefault="00895684" w:rsidP="00895684">
      <w:pPr>
        <w:pStyle w:val="NormalWeb"/>
        <w:numPr>
          <w:ilvl w:val="0"/>
          <w:numId w:val="3"/>
        </w:numPr>
        <w:shd w:val="clear" w:color="auto" w:fill="FFFFFF"/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>3-4 key points</w:t>
      </w:r>
    </w:p>
    <w:p w14:paraId="606F06B7" w14:textId="77777777" w:rsidR="00895684" w:rsidRPr="001564DC" w:rsidRDefault="00895684" w:rsidP="00895684">
      <w:pPr>
        <w:pStyle w:val="NormalWeb"/>
        <w:numPr>
          <w:ilvl w:val="0"/>
          <w:numId w:val="3"/>
        </w:numPr>
        <w:shd w:val="clear" w:color="auto" w:fill="FFFFFF"/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>3-4 key points</w:t>
      </w:r>
    </w:p>
    <w:p w14:paraId="1E617572" w14:textId="77777777" w:rsidR="00895684" w:rsidRPr="001564DC" w:rsidRDefault="00895684" w:rsidP="00895684">
      <w:pPr>
        <w:pStyle w:val="NormalWeb"/>
        <w:numPr>
          <w:ilvl w:val="0"/>
          <w:numId w:val="3"/>
        </w:numPr>
        <w:shd w:val="clear" w:color="auto" w:fill="FFFFFF"/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>3-4 key points</w:t>
      </w:r>
    </w:p>
    <w:p w14:paraId="1BE35D86" w14:textId="77777777" w:rsidR="002C0E19" w:rsidRPr="001564DC" w:rsidRDefault="002C0E19" w:rsidP="00E91D72">
      <w:pPr>
        <w:pStyle w:val="NormalWeb"/>
        <w:shd w:val="clear" w:color="auto" w:fill="FFFFFF"/>
        <w:rPr>
          <w:rFonts w:asciiTheme="majorHAnsi" w:hAnsiTheme="majorHAnsi" w:cstheme="majorHAnsi"/>
          <w:color w:val="000000"/>
          <w:sz w:val="28"/>
          <w:szCs w:val="28"/>
        </w:rPr>
      </w:pPr>
    </w:p>
    <w:p w14:paraId="7C879F9D" w14:textId="77777777" w:rsidR="001564DC" w:rsidRPr="001564DC" w:rsidRDefault="001564DC" w:rsidP="001564DC">
      <w:pPr>
        <w:pStyle w:val="NormalWeb"/>
        <w:shd w:val="clear" w:color="auto" w:fill="FFFFFF"/>
        <w:rPr>
          <w:rFonts w:asciiTheme="majorHAnsi" w:hAnsiTheme="majorHAnsi" w:cstheme="majorHAnsi"/>
          <w:color w:val="FF0000"/>
        </w:rPr>
      </w:pPr>
      <w:r w:rsidRPr="001564DC">
        <w:rPr>
          <w:rFonts w:asciiTheme="majorHAnsi" w:hAnsiTheme="majorHAnsi" w:cstheme="majorHAnsi"/>
          <w:color w:val="FF0000"/>
        </w:rPr>
        <w:t>For 24 hour advice, contact the Poisons Information Centre 13 11 26</w:t>
      </w:r>
    </w:p>
    <w:p w14:paraId="7A03443D" w14:textId="77777777" w:rsidR="00E91D72" w:rsidRPr="001564DC" w:rsidRDefault="00E91D72">
      <w:pPr>
        <w:rPr>
          <w:rFonts w:asciiTheme="majorHAnsi" w:hAnsiTheme="majorHAnsi" w:cstheme="majorHAnsi"/>
          <w:b/>
          <w:color w:val="FF0000"/>
        </w:rPr>
      </w:pPr>
    </w:p>
    <w:p w14:paraId="6A5DE240" w14:textId="77777777" w:rsidR="00EF7750" w:rsidRPr="001564DC" w:rsidRDefault="00EF7750">
      <w:pPr>
        <w:rPr>
          <w:rFonts w:asciiTheme="majorHAnsi" w:hAnsiTheme="majorHAnsi" w:cstheme="majorHAnsi"/>
          <w:b/>
          <w:color w:val="FF0000"/>
        </w:rPr>
      </w:pPr>
      <w:r w:rsidRPr="001564DC">
        <w:rPr>
          <w:rFonts w:asciiTheme="majorHAnsi" w:hAnsiTheme="majorHAnsi" w:cstheme="majorHAnsi"/>
          <w:b/>
          <w:color w:val="C00000"/>
          <w:sz w:val="28"/>
          <w:szCs w:val="28"/>
        </w:rPr>
        <w:t>Background</w:t>
      </w:r>
    </w:p>
    <w:p w14:paraId="2EBDA876" w14:textId="77777777" w:rsidR="005D5B29" w:rsidRPr="001564DC" w:rsidRDefault="00584E93">
      <w:pPr>
        <w:rPr>
          <w:rFonts w:asciiTheme="majorHAnsi" w:hAnsiTheme="majorHAnsi" w:cstheme="majorHAnsi"/>
          <w:b/>
          <w:i/>
          <w:color w:val="00B050"/>
        </w:rPr>
      </w:pPr>
      <w:r w:rsidRPr="001564DC">
        <w:rPr>
          <w:rFonts w:asciiTheme="majorHAnsi" w:hAnsiTheme="majorHAnsi" w:cstheme="majorHAnsi"/>
          <w:i/>
          <w:color w:val="00B050"/>
        </w:rPr>
        <w:t>Brief statement, n</w:t>
      </w:r>
      <w:r w:rsidR="00895684" w:rsidRPr="001564DC">
        <w:rPr>
          <w:rFonts w:asciiTheme="majorHAnsi" w:hAnsiTheme="majorHAnsi" w:cstheme="majorHAnsi"/>
          <w:i/>
          <w:color w:val="00B050"/>
        </w:rPr>
        <w:t>o more than 1-2 paragraphs explaining what the condition is, preferably bullet points. Define non-standard abbreviations.</w:t>
      </w:r>
    </w:p>
    <w:p w14:paraId="3CF49055" w14:textId="77777777" w:rsidR="00EF7750" w:rsidRPr="001564DC" w:rsidRDefault="00EF7750">
      <w:pPr>
        <w:rPr>
          <w:rFonts w:asciiTheme="majorHAnsi" w:hAnsiTheme="majorHAnsi" w:cstheme="majorHAnsi"/>
          <w:color w:val="000000"/>
        </w:rPr>
      </w:pPr>
    </w:p>
    <w:p w14:paraId="0D51E213" w14:textId="77777777" w:rsidR="0036616A" w:rsidRPr="001564DC" w:rsidRDefault="00EF7750">
      <w:pPr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 xml:space="preserve">Pharmacokinetics: </w:t>
      </w:r>
    </w:p>
    <w:p w14:paraId="195ABA89" w14:textId="77777777" w:rsidR="0036616A" w:rsidRPr="001564DC" w:rsidRDefault="0036616A">
      <w:pPr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>Onset</w:t>
      </w:r>
      <w:r w:rsidR="00DC1DD6" w:rsidRPr="001564DC">
        <w:rPr>
          <w:rFonts w:asciiTheme="majorHAnsi" w:hAnsiTheme="majorHAnsi" w:cstheme="majorHAnsi"/>
          <w:color w:val="000000"/>
        </w:rPr>
        <w:t xml:space="preserve"> </w:t>
      </w:r>
      <w:r w:rsidR="00DC1DD6" w:rsidRPr="001564DC">
        <w:rPr>
          <w:rFonts w:asciiTheme="majorHAnsi" w:hAnsiTheme="majorHAnsi" w:cstheme="majorHAnsi"/>
          <w:color w:val="00B050"/>
        </w:rPr>
        <w:t>x</w:t>
      </w:r>
      <w:r w:rsidR="00DC1DD6" w:rsidRPr="001564DC">
        <w:rPr>
          <w:rFonts w:asciiTheme="majorHAnsi" w:hAnsiTheme="majorHAnsi" w:cstheme="majorHAnsi"/>
          <w:color w:val="000000"/>
        </w:rPr>
        <w:t xml:space="preserve"> </w:t>
      </w:r>
      <w:r w:rsidRPr="001564DC">
        <w:rPr>
          <w:rFonts w:asciiTheme="majorHAnsi" w:hAnsiTheme="majorHAnsi" w:cstheme="majorHAnsi"/>
          <w:color w:val="000000"/>
        </w:rPr>
        <w:t xml:space="preserve">hours post ingestion; </w:t>
      </w:r>
      <w:r w:rsidR="00EF7750" w:rsidRPr="001564DC">
        <w:rPr>
          <w:rFonts w:asciiTheme="majorHAnsi" w:hAnsiTheme="majorHAnsi" w:cstheme="majorHAnsi"/>
          <w:color w:val="000000"/>
        </w:rPr>
        <w:t xml:space="preserve">peak </w:t>
      </w:r>
      <w:r w:rsidR="00DC1DD6" w:rsidRPr="001564DC">
        <w:rPr>
          <w:rFonts w:asciiTheme="majorHAnsi" w:hAnsiTheme="majorHAnsi" w:cstheme="majorHAnsi"/>
          <w:color w:val="00B050"/>
        </w:rPr>
        <w:t>y</w:t>
      </w:r>
      <w:r w:rsidR="00EF7750" w:rsidRPr="001564DC">
        <w:rPr>
          <w:rFonts w:asciiTheme="majorHAnsi" w:hAnsiTheme="majorHAnsi" w:cstheme="majorHAnsi"/>
          <w:color w:val="000000"/>
        </w:rPr>
        <w:t xml:space="preserve"> hours post ingestion</w:t>
      </w:r>
      <w:r w:rsidRPr="001564DC">
        <w:rPr>
          <w:rFonts w:asciiTheme="majorHAnsi" w:hAnsiTheme="majorHAnsi" w:cstheme="majorHAnsi"/>
          <w:color w:val="000000"/>
        </w:rPr>
        <w:t xml:space="preserve"> standard formulation</w:t>
      </w:r>
    </w:p>
    <w:p w14:paraId="48B2E61F" w14:textId="77777777" w:rsidR="0036616A" w:rsidRPr="001564DC" w:rsidRDefault="0036616A">
      <w:pPr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>Onset</w:t>
      </w:r>
      <w:r w:rsidR="008E7ECE" w:rsidRPr="001564DC">
        <w:rPr>
          <w:rFonts w:asciiTheme="majorHAnsi" w:hAnsiTheme="majorHAnsi" w:cstheme="majorHAnsi"/>
          <w:color w:val="00B050"/>
        </w:rPr>
        <w:t xml:space="preserve"> x</w:t>
      </w:r>
      <w:r w:rsidRPr="001564DC">
        <w:rPr>
          <w:rFonts w:asciiTheme="majorHAnsi" w:hAnsiTheme="majorHAnsi" w:cstheme="majorHAnsi"/>
          <w:color w:val="000000"/>
        </w:rPr>
        <w:t xml:space="preserve"> hours post ingestion; Pea</w:t>
      </w:r>
      <w:r w:rsidR="008E7ECE" w:rsidRPr="001564DC">
        <w:rPr>
          <w:rFonts w:asciiTheme="majorHAnsi" w:hAnsiTheme="majorHAnsi" w:cstheme="majorHAnsi"/>
          <w:color w:val="000000"/>
        </w:rPr>
        <w:t xml:space="preserve">k </w:t>
      </w:r>
      <w:r w:rsidR="008E7ECE" w:rsidRPr="001564DC">
        <w:rPr>
          <w:rFonts w:asciiTheme="majorHAnsi" w:hAnsiTheme="majorHAnsi" w:cstheme="majorHAnsi"/>
          <w:color w:val="00B050"/>
        </w:rPr>
        <w:t>y</w:t>
      </w:r>
      <w:r w:rsidR="008E7ECE" w:rsidRPr="001564DC">
        <w:rPr>
          <w:rFonts w:asciiTheme="majorHAnsi" w:hAnsiTheme="majorHAnsi" w:cstheme="majorHAnsi"/>
          <w:color w:val="000000"/>
        </w:rPr>
        <w:t xml:space="preserve"> </w:t>
      </w:r>
      <w:r w:rsidRPr="001564DC">
        <w:rPr>
          <w:rFonts w:asciiTheme="majorHAnsi" w:hAnsiTheme="majorHAnsi" w:cstheme="majorHAnsi"/>
          <w:color w:val="000000"/>
        </w:rPr>
        <w:t>post ingestion modified release</w:t>
      </w:r>
    </w:p>
    <w:p w14:paraId="123310A0" w14:textId="77777777" w:rsidR="0036616A" w:rsidRPr="001564DC" w:rsidRDefault="0036616A">
      <w:pPr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>Duration of symptoms</w:t>
      </w:r>
      <w:r w:rsidR="008E7ECE" w:rsidRPr="001564DC">
        <w:rPr>
          <w:rFonts w:asciiTheme="majorHAnsi" w:hAnsiTheme="majorHAnsi" w:cstheme="majorHAnsi"/>
          <w:color w:val="000000"/>
        </w:rPr>
        <w:t xml:space="preserve"> </w:t>
      </w:r>
    </w:p>
    <w:p w14:paraId="4C118A0A" w14:textId="77777777" w:rsidR="0036616A" w:rsidRPr="001564DC" w:rsidRDefault="0036616A">
      <w:pPr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 xml:space="preserve">Renal or hepatic </w:t>
      </w:r>
      <w:r w:rsidR="001C485F" w:rsidRPr="001564DC">
        <w:rPr>
          <w:rFonts w:asciiTheme="majorHAnsi" w:hAnsiTheme="majorHAnsi" w:cstheme="majorHAnsi"/>
          <w:color w:val="000000"/>
        </w:rPr>
        <w:t xml:space="preserve">metabolism </w:t>
      </w:r>
      <w:r w:rsidR="001C485F" w:rsidRPr="001564DC">
        <w:rPr>
          <w:rFonts w:asciiTheme="majorHAnsi" w:hAnsiTheme="majorHAnsi" w:cstheme="majorHAnsi"/>
          <w:color w:val="00B050"/>
        </w:rPr>
        <w:t>(</w:t>
      </w:r>
      <w:r w:rsidR="008E7ECE" w:rsidRPr="001564DC">
        <w:rPr>
          <w:rFonts w:asciiTheme="majorHAnsi" w:hAnsiTheme="majorHAnsi" w:cstheme="majorHAnsi"/>
          <w:color w:val="00B050"/>
        </w:rPr>
        <w:t>if relevant in event of impairment)</w:t>
      </w:r>
    </w:p>
    <w:p w14:paraId="57E97926" w14:textId="77777777" w:rsidR="0036616A" w:rsidRPr="001564DC" w:rsidRDefault="0036616A">
      <w:pPr>
        <w:rPr>
          <w:rFonts w:asciiTheme="majorHAnsi" w:hAnsiTheme="majorHAnsi" w:cstheme="majorHAnsi"/>
          <w:color w:val="000000"/>
        </w:rPr>
      </w:pPr>
    </w:p>
    <w:p w14:paraId="32D986A4" w14:textId="77777777" w:rsidR="00EF7750" w:rsidRPr="001564DC" w:rsidRDefault="00EF7750" w:rsidP="0036616A">
      <w:pPr>
        <w:rPr>
          <w:rFonts w:asciiTheme="majorHAnsi" w:hAnsiTheme="majorHAnsi" w:cstheme="majorHAnsi"/>
          <w:color w:val="00B050"/>
        </w:rPr>
      </w:pPr>
      <w:r w:rsidRPr="001564DC">
        <w:rPr>
          <w:rFonts w:asciiTheme="majorHAnsi" w:hAnsiTheme="majorHAnsi" w:cstheme="majorHAnsi"/>
          <w:color w:val="000000"/>
        </w:rPr>
        <w:t>Dose related toxicity</w:t>
      </w:r>
      <w:r w:rsidR="00222683" w:rsidRPr="001564DC">
        <w:rPr>
          <w:rFonts w:asciiTheme="majorHAnsi" w:hAnsiTheme="majorHAnsi" w:cstheme="majorHAnsi"/>
          <w:color w:val="000000"/>
        </w:rPr>
        <w:t xml:space="preserve">: In </w:t>
      </w:r>
      <w:r w:rsidR="0036616A" w:rsidRPr="001564DC">
        <w:rPr>
          <w:rFonts w:asciiTheme="majorHAnsi" w:hAnsiTheme="majorHAnsi" w:cstheme="majorHAnsi"/>
          <w:color w:val="000000"/>
        </w:rPr>
        <w:t xml:space="preserve">a dose of &gt; </w:t>
      </w:r>
      <w:r w:rsidR="0036616A" w:rsidRPr="001564DC">
        <w:rPr>
          <w:rFonts w:asciiTheme="majorHAnsi" w:hAnsiTheme="majorHAnsi" w:cstheme="majorHAnsi"/>
          <w:color w:val="00B050"/>
        </w:rPr>
        <w:t>x</w:t>
      </w:r>
      <w:r w:rsidR="0036616A" w:rsidRPr="001564DC">
        <w:rPr>
          <w:rFonts w:asciiTheme="majorHAnsi" w:hAnsiTheme="majorHAnsi" w:cstheme="majorHAnsi"/>
          <w:color w:val="000000"/>
        </w:rPr>
        <w:t xml:space="preserve"> g/kg</w:t>
      </w:r>
      <w:r w:rsidR="008E7ECE" w:rsidRPr="001564DC">
        <w:rPr>
          <w:rFonts w:asciiTheme="majorHAnsi" w:hAnsiTheme="majorHAnsi" w:cstheme="majorHAnsi"/>
          <w:color w:val="000000"/>
        </w:rPr>
        <w:t xml:space="preserve">; </w:t>
      </w:r>
      <w:r w:rsidR="00222683" w:rsidRPr="001564DC">
        <w:rPr>
          <w:rFonts w:asciiTheme="majorHAnsi" w:hAnsiTheme="majorHAnsi" w:cstheme="majorHAnsi"/>
          <w:color w:val="000000"/>
        </w:rPr>
        <w:t xml:space="preserve">expect </w:t>
      </w:r>
      <w:r w:rsidR="0036616A" w:rsidRPr="001564DC">
        <w:rPr>
          <w:rFonts w:asciiTheme="majorHAnsi" w:hAnsiTheme="majorHAnsi" w:cstheme="majorHAnsi"/>
          <w:color w:val="00B050"/>
        </w:rPr>
        <w:t>(brief desc</w:t>
      </w:r>
      <w:r w:rsidR="00E91D72" w:rsidRPr="001564DC">
        <w:rPr>
          <w:rFonts w:asciiTheme="majorHAnsi" w:hAnsiTheme="majorHAnsi" w:cstheme="majorHAnsi"/>
          <w:color w:val="00B050"/>
        </w:rPr>
        <w:t>r</w:t>
      </w:r>
      <w:r w:rsidR="0036616A" w:rsidRPr="001564DC">
        <w:rPr>
          <w:rFonts w:asciiTheme="majorHAnsi" w:hAnsiTheme="majorHAnsi" w:cstheme="majorHAnsi"/>
          <w:color w:val="00B050"/>
        </w:rPr>
        <w:t>iption)</w:t>
      </w:r>
    </w:p>
    <w:p w14:paraId="5E0F0144" w14:textId="77777777" w:rsidR="00AE095C" w:rsidRPr="001564DC" w:rsidRDefault="00AE095C" w:rsidP="0036616A">
      <w:pPr>
        <w:rPr>
          <w:rFonts w:asciiTheme="majorHAnsi" w:hAnsiTheme="majorHAnsi" w:cstheme="majorHAnsi"/>
          <w:color w:val="00B050"/>
        </w:rPr>
      </w:pPr>
    </w:p>
    <w:p w14:paraId="00B076AF" w14:textId="77777777" w:rsidR="00895684" w:rsidRPr="001564DC" w:rsidRDefault="00584E93" w:rsidP="00895684">
      <w:pPr>
        <w:rPr>
          <w:rFonts w:asciiTheme="majorHAnsi" w:hAnsiTheme="majorHAnsi" w:cstheme="majorHAnsi"/>
          <w:b/>
          <w:color w:val="C00000"/>
          <w:sz w:val="28"/>
          <w:szCs w:val="28"/>
        </w:rPr>
      </w:pPr>
      <w:r w:rsidRPr="001564DC">
        <w:rPr>
          <w:rFonts w:asciiTheme="majorHAnsi" w:hAnsiTheme="majorHAnsi" w:cstheme="majorHAnsi"/>
          <w:b/>
          <w:color w:val="C00000"/>
          <w:sz w:val="28"/>
          <w:szCs w:val="28"/>
        </w:rPr>
        <w:t>Children</w:t>
      </w:r>
      <w:r w:rsidR="008B017A" w:rsidRPr="001564DC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 requiring a</w:t>
      </w:r>
      <w:r w:rsidR="00895684" w:rsidRPr="001564DC">
        <w:rPr>
          <w:rFonts w:asciiTheme="majorHAnsi" w:hAnsiTheme="majorHAnsi" w:cstheme="majorHAnsi"/>
          <w:b/>
          <w:color w:val="C00000"/>
          <w:sz w:val="28"/>
          <w:szCs w:val="28"/>
        </w:rPr>
        <w:t>ssessment</w:t>
      </w:r>
    </w:p>
    <w:p w14:paraId="0CC5B70C" w14:textId="77777777" w:rsidR="00584E93" w:rsidRPr="001564DC" w:rsidRDefault="00584E93" w:rsidP="00584E93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1564DC">
        <w:rPr>
          <w:rFonts w:asciiTheme="majorHAnsi" w:hAnsiTheme="majorHAnsi" w:cstheme="majorHAnsi"/>
          <w:sz w:val="24"/>
          <w:szCs w:val="24"/>
        </w:rPr>
        <w:t xml:space="preserve">All children with deliberate self-poisoning or significant </w:t>
      </w:r>
      <w:r w:rsidRPr="001564DC">
        <w:rPr>
          <w:rFonts w:asciiTheme="majorHAnsi" w:hAnsiTheme="majorHAnsi" w:cstheme="majorHAnsi"/>
          <w:color w:val="00B050"/>
        </w:rPr>
        <w:t>(define or link definition elsewhere in CPG/see below)</w:t>
      </w:r>
      <w:r w:rsidRPr="001564DC">
        <w:rPr>
          <w:rFonts w:asciiTheme="majorHAnsi" w:hAnsiTheme="majorHAnsi" w:cstheme="majorHAnsi"/>
          <w:sz w:val="24"/>
          <w:szCs w:val="24"/>
        </w:rPr>
        <w:t xml:space="preserve"> accidental ingestion </w:t>
      </w:r>
    </w:p>
    <w:p w14:paraId="180C05EE" w14:textId="71D5FE2C" w:rsidR="00584E93" w:rsidRDefault="00584E93" w:rsidP="00584E93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 w:rsidRPr="001564DC">
        <w:rPr>
          <w:rFonts w:asciiTheme="majorHAnsi" w:hAnsiTheme="majorHAnsi" w:cstheme="majorHAnsi"/>
          <w:sz w:val="24"/>
          <w:szCs w:val="24"/>
        </w:rPr>
        <w:t xml:space="preserve">Any symptomatic child </w:t>
      </w:r>
    </w:p>
    <w:p w14:paraId="3984CF47" w14:textId="4AB6EB2B" w:rsidR="00962611" w:rsidRPr="001564DC" w:rsidRDefault="00962611" w:rsidP="00584E93">
      <w:pPr>
        <w:pStyle w:val="ListParagraph"/>
        <w:ind w:left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Acute ingestion of unknown quantity</w:t>
      </w:r>
    </w:p>
    <w:p w14:paraId="204C2DC7" w14:textId="77777777" w:rsidR="00584E93" w:rsidRPr="001564DC" w:rsidRDefault="00584E93" w:rsidP="00584E93">
      <w:pPr>
        <w:rPr>
          <w:rFonts w:asciiTheme="majorHAnsi" w:hAnsiTheme="majorHAnsi" w:cstheme="majorHAnsi"/>
        </w:rPr>
      </w:pPr>
      <w:r w:rsidRPr="00962611">
        <w:rPr>
          <w:rFonts w:asciiTheme="majorHAnsi" w:hAnsiTheme="majorHAnsi" w:cstheme="majorHAnsi"/>
          <w:color w:val="595959" w:themeColor="text1" w:themeTint="A6"/>
        </w:rPr>
        <w:t xml:space="preserve">Dose &gt; </w:t>
      </w:r>
      <w:r w:rsidRPr="001564DC">
        <w:rPr>
          <w:rFonts w:asciiTheme="majorHAnsi" w:hAnsiTheme="majorHAnsi" w:cstheme="majorHAnsi"/>
          <w:color w:val="00B050"/>
        </w:rPr>
        <w:t xml:space="preserve">x mg/ </w:t>
      </w:r>
      <w:r w:rsidRPr="00962611">
        <w:rPr>
          <w:rFonts w:asciiTheme="majorHAnsi" w:hAnsiTheme="majorHAnsi" w:cstheme="majorHAnsi"/>
          <w:color w:val="595959" w:themeColor="text1" w:themeTint="A6"/>
        </w:rPr>
        <w:t>kg</w:t>
      </w:r>
    </w:p>
    <w:p w14:paraId="2584F0DE" w14:textId="2BCAECFE" w:rsidR="00584E93" w:rsidRDefault="00584E93" w:rsidP="00584E93">
      <w:pPr>
        <w:rPr>
          <w:rFonts w:asciiTheme="majorHAnsi" w:hAnsiTheme="majorHAnsi" w:cstheme="majorHAnsi"/>
        </w:rPr>
      </w:pPr>
      <w:r w:rsidRPr="001564DC">
        <w:rPr>
          <w:rFonts w:asciiTheme="majorHAnsi" w:hAnsiTheme="majorHAnsi" w:cstheme="majorHAnsi"/>
        </w:rPr>
        <w:lastRenderedPageBreak/>
        <w:t>Any child whose developmental age is inconsistent with accidental poisoning as non-accidental poisoning should be considered.</w:t>
      </w:r>
    </w:p>
    <w:p w14:paraId="67F0B79F" w14:textId="77777777" w:rsidR="00962611" w:rsidRPr="001564DC" w:rsidRDefault="00962611" w:rsidP="00584E93">
      <w:pPr>
        <w:rPr>
          <w:rFonts w:asciiTheme="majorHAnsi" w:hAnsiTheme="majorHAnsi" w:cstheme="majorHAnsi"/>
          <w:color w:val="00B050"/>
        </w:rPr>
      </w:pPr>
    </w:p>
    <w:p w14:paraId="78192E01" w14:textId="77777777" w:rsidR="00584E93" w:rsidRPr="001564DC" w:rsidRDefault="00584E93" w:rsidP="00895684">
      <w:pPr>
        <w:rPr>
          <w:rFonts w:asciiTheme="majorHAnsi" w:hAnsiTheme="majorHAnsi" w:cstheme="majorHAnsi"/>
          <w:b/>
          <w:color w:val="C00000"/>
          <w:sz w:val="28"/>
          <w:szCs w:val="28"/>
        </w:rPr>
      </w:pPr>
    </w:p>
    <w:p w14:paraId="7906CB24" w14:textId="77777777" w:rsidR="00584E93" w:rsidRPr="001564DC" w:rsidRDefault="00584E93" w:rsidP="00895684">
      <w:pPr>
        <w:rPr>
          <w:rFonts w:asciiTheme="majorHAnsi" w:hAnsiTheme="majorHAnsi" w:cstheme="majorHAnsi"/>
          <w:b/>
          <w:color w:val="FF0000"/>
        </w:rPr>
      </w:pPr>
      <w:r w:rsidRPr="001564DC">
        <w:rPr>
          <w:rFonts w:asciiTheme="majorHAnsi" w:hAnsiTheme="majorHAnsi" w:cstheme="majorHAnsi"/>
          <w:b/>
          <w:color w:val="C00000"/>
          <w:sz w:val="28"/>
          <w:szCs w:val="28"/>
        </w:rPr>
        <w:t>Risk assessment</w:t>
      </w:r>
    </w:p>
    <w:p w14:paraId="14AC2688" w14:textId="77777777" w:rsidR="00895684" w:rsidRPr="001564DC" w:rsidRDefault="00895684" w:rsidP="00895684">
      <w:pPr>
        <w:rPr>
          <w:rFonts w:asciiTheme="majorHAnsi" w:hAnsiTheme="majorHAnsi" w:cstheme="majorHAnsi"/>
          <w:b/>
          <w:color w:val="FF0000"/>
        </w:rPr>
      </w:pPr>
      <w:r w:rsidRPr="001564DC">
        <w:rPr>
          <w:rFonts w:asciiTheme="majorHAnsi" w:hAnsiTheme="majorHAnsi" w:cstheme="majorHAnsi"/>
          <w:b/>
          <w:color w:val="FF0000"/>
        </w:rPr>
        <w:t>Red flag features in Red</w:t>
      </w:r>
    </w:p>
    <w:p w14:paraId="2B4EEC06" w14:textId="77777777" w:rsidR="00895684" w:rsidRPr="001564DC" w:rsidRDefault="00895684" w:rsidP="00895684">
      <w:pPr>
        <w:rPr>
          <w:rFonts w:asciiTheme="majorHAnsi" w:hAnsiTheme="majorHAnsi" w:cstheme="majorHAnsi"/>
          <w:b/>
          <w:color w:val="FF0000"/>
        </w:rPr>
      </w:pPr>
      <w:r w:rsidRPr="001564DC">
        <w:rPr>
          <w:rFonts w:asciiTheme="majorHAnsi" w:hAnsiTheme="majorHAnsi" w:cstheme="majorHAnsi"/>
          <w:b/>
          <w:color w:val="FF0000"/>
        </w:rPr>
        <w:t xml:space="preserve">History </w:t>
      </w:r>
    </w:p>
    <w:p w14:paraId="0DC17A00" w14:textId="77777777" w:rsidR="00895684" w:rsidRPr="001564DC" w:rsidRDefault="00895684" w:rsidP="00895684">
      <w:pPr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>Intentional overdose or accidental</w:t>
      </w:r>
    </w:p>
    <w:p w14:paraId="527200FB" w14:textId="77777777" w:rsidR="00895684" w:rsidRPr="001564DC" w:rsidRDefault="00895684" w:rsidP="00895684">
      <w:pPr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 xml:space="preserve">Dose: </w:t>
      </w:r>
    </w:p>
    <w:p w14:paraId="7A9C72C0" w14:textId="77777777" w:rsidR="00895684" w:rsidRPr="001564DC" w:rsidRDefault="00895684" w:rsidP="00895684">
      <w:pPr>
        <w:ind w:firstLine="720"/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>Stated or likely dose taken</w:t>
      </w:r>
    </w:p>
    <w:p w14:paraId="5EEB1A39" w14:textId="77777777" w:rsidR="00895684" w:rsidRPr="001564DC" w:rsidRDefault="00895684" w:rsidP="00895684">
      <w:pPr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ab/>
        <w:t xml:space="preserve">Presented as syrup, immediate or modified- release tablets in </w:t>
      </w:r>
      <w:r w:rsidRPr="001564DC">
        <w:rPr>
          <w:rFonts w:asciiTheme="majorHAnsi" w:hAnsiTheme="majorHAnsi" w:cstheme="majorHAnsi"/>
          <w:color w:val="00B050"/>
        </w:rPr>
        <w:t>x- y</w:t>
      </w:r>
      <w:r w:rsidRPr="001564DC">
        <w:rPr>
          <w:rFonts w:asciiTheme="majorHAnsi" w:hAnsiTheme="majorHAnsi" w:cstheme="majorHAnsi"/>
          <w:color w:val="000000"/>
        </w:rPr>
        <w:t xml:space="preserve"> mg </w:t>
      </w:r>
    </w:p>
    <w:p w14:paraId="7C59DAE3" w14:textId="77777777" w:rsidR="00895684" w:rsidRPr="001564DC" w:rsidRDefault="00895684" w:rsidP="00895684">
      <w:pPr>
        <w:ind w:firstLine="720"/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>If possible determine the exact name and tablet size.</w:t>
      </w:r>
    </w:p>
    <w:p w14:paraId="1E2F4308" w14:textId="77777777" w:rsidR="00895684" w:rsidRPr="001564DC" w:rsidRDefault="00895684" w:rsidP="00895684">
      <w:pPr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ab/>
        <w:t>Calculate the maximum possible dose per kg</w:t>
      </w:r>
    </w:p>
    <w:p w14:paraId="162B5A75" w14:textId="77777777" w:rsidR="00895684" w:rsidRPr="001564DC" w:rsidRDefault="00895684" w:rsidP="00895684">
      <w:pPr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ab/>
      </w:r>
      <w:r w:rsidRPr="001564DC">
        <w:rPr>
          <w:rFonts w:asciiTheme="majorHAnsi" w:hAnsiTheme="majorHAnsi" w:cstheme="majorHAnsi"/>
          <w:color w:val="00B050"/>
        </w:rPr>
        <w:t>x</w:t>
      </w:r>
      <w:r w:rsidRPr="001564DC">
        <w:rPr>
          <w:rFonts w:asciiTheme="majorHAnsi" w:hAnsiTheme="majorHAnsi" w:cstheme="majorHAnsi"/>
          <w:color w:val="000000"/>
        </w:rPr>
        <w:t xml:space="preserve"> mg/kg is significant in an adult whilst &gt; </w:t>
      </w:r>
      <w:r w:rsidRPr="001564DC">
        <w:rPr>
          <w:rFonts w:asciiTheme="majorHAnsi" w:hAnsiTheme="majorHAnsi" w:cstheme="majorHAnsi"/>
          <w:color w:val="00B050"/>
        </w:rPr>
        <w:t>y</w:t>
      </w:r>
      <w:r w:rsidRPr="001564DC">
        <w:rPr>
          <w:rFonts w:asciiTheme="majorHAnsi" w:hAnsiTheme="majorHAnsi" w:cstheme="majorHAnsi"/>
          <w:color w:val="000000"/>
        </w:rPr>
        <w:t xml:space="preserve"> mg/kg may be associated with severe toxicity.</w:t>
      </w:r>
    </w:p>
    <w:p w14:paraId="1839F819" w14:textId="77777777" w:rsidR="00895684" w:rsidRPr="001564DC" w:rsidRDefault="00895684" w:rsidP="00895684">
      <w:pPr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>Co-ingestants e.g. paracetamol</w:t>
      </w:r>
    </w:p>
    <w:p w14:paraId="02EF9667" w14:textId="77777777" w:rsidR="00895684" w:rsidRPr="001564DC" w:rsidRDefault="00895684" w:rsidP="00895684">
      <w:pPr>
        <w:rPr>
          <w:rFonts w:asciiTheme="majorHAnsi" w:hAnsiTheme="majorHAnsi" w:cstheme="majorHAnsi"/>
          <w:u w:val="single"/>
        </w:rPr>
      </w:pPr>
    </w:p>
    <w:p w14:paraId="3C698D30" w14:textId="77777777" w:rsidR="00895684" w:rsidRPr="001564DC" w:rsidRDefault="00895684" w:rsidP="00895684">
      <w:pPr>
        <w:rPr>
          <w:rFonts w:asciiTheme="majorHAnsi" w:hAnsiTheme="majorHAnsi" w:cstheme="majorHAnsi"/>
          <w:b/>
          <w:color w:val="000000"/>
        </w:rPr>
      </w:pPr>
      <w:r w:rsidRPr="001564DC">
        <w:rPr>
          <w:rFonts w:asciiTheme="majorHAnsi" w:hAnsiTheme="majorHAnsi" w:cstheme="majorHAnsi"/>
          <w:b/>
          <w:color w:val="FF0000"/>
        </w:rPr>
        <w:t>Examination</w:t>
      </w:r>
      <w:r w:rsidRPr="001564DC">
        <w:rPr>
          <w:rFonts w:asciiTheme="majorHAnsi" w:hAnsiTheme="majorHAnsi" w:cstheme="majorHAnsi"/>
          <w:color w:val="FF0000"/>
        </w:rPr>
        <w:t xml:space="preserve"> </w:t>
      </w:r>
      <w:r w:rsidRPr="001564DC">
        <w:rPr>
          <w:rFonts w:asciiTheme="majorHAnsi" w:hAnsiTheme="majorHAnsi" w:cstheme="majorHAnsi"/>
          <w:color w:val="00B050"/>
        </w:rPr>
        <w:t>(critical or distinguishing features)</w:t>
      </w:r>
      <w:r w:rsidRPr="001564DC">
        <w:rPr>
          <w:rFonts w:asciiTheme="majorHAnsi" w:hAnsiTheme="majorHAnsi" w:cstheme="majorHAnsi"/>
          <w:b/>
          <w:color w:val="000000"/>
        </w:rPr>
        <w:t xml:space="preserve"> </w:t>
      </w:r>
    </w:p>
    <w:p w14:paraId="385A44E1" w14:textId="77777777" w:rsidR="00895684" w:rsidRPr="001564DC" w:rsidRDefault="00895684" w:rsidP="00895684">
      <w:pPr>
        <w:rPr>
          <w:rFonts w:asciiTheme="majorHAnsi" w:hAnsiTheme="majorHAnsi" w:cstheme="majorHAnsi"/>
          <w:b/>
          <w:color w:val="000000"/>
        </w:rPr>
      </w:pPr>
    </w:p>
    <w:p w14:paraId="7A113F6E" w14:textId="77777777" w:rsidR="00895684" w:rsidRPr="001564DC" w:rsidRDefault="00895684" w:rsidP="00895684">
      <w:pPr>
        <w:rPr>
          <w:rFonts w:asciiTheme="majorHAnsi" w:hAnsiTheme="majorHAnsi" w:cstheme="majorHAnsi"/>
          <w:color w:val="00B050"/>
        </w:rPr>
      </w:pPr>
      <w:r w:rsidRPr="001564DC">
        <w:rPr>
          <w:rFonts w:asciiTheme="majorHAnsi" w:hAnsiTheme="majorHAnsi" w:cstheme="majorHAnsi"/>
          <w:color w:val="00B050"/>
        </w:rPr>
        <w:t>Toxidrome (link)</w:t>
      </w:r>
    </w:p>
    <w:p w14:paraId="02BB5B0C" w14:textId="77777777" w:rsidR="00895684" w:rsidRPr="001564DC" w:rsidRDefault="00895684" w:rsidP="00895684">
      <w:pPr>
        <w:rPr>
          <w:rFonts w:asciiTheme="majorHAnsi" w:hAnsiTheme="majorHAnsi" w:cstheme="majorHAnsi"/>
          <w:color w:val="00B050"/>
        </w:rPr>
      </w:pPr>
    </w:p>
    <w:p w14:paraId="68A0870A" w14:textId="77777777" w:rsidR="00895684" w:rsidRPr="001564DC" w:rsidRDefault="00895684" w:rsidP="00895684">
      <w:pPr>
        <w:rPr>
          <w:rFonts w:asciiTheme="majorHAnsi" w:hAnsiTheme="majorHAnsi" w:cstheme="majorHAnsi"/>
          <w:color w:val="00B050"/>
        </w:rPr>
      </w:pPr>
      <w:r w:rsidRPr="001564DC">
        <w:rPr>
          <w:rFonts w:asciiTheme="majorHAnsi" w:hAnsiTheme="majorHAnsi" w:cstheme="majorHAnsi"/>
          <w:color w:val="00B050"/>
        </w:rPr>
        <w:t>CNS depression/ excitement – any decrease is significant</w:t>
      </w:r>
    </w:p>
    <w:p w14:paraId="716986DD" w14:textId="77777777" w:rsidR="00895684" w:rsidRPr="001564DC" w:rsidRDefault="00895684" w:rsidP="00895684">
      <w:pPr>
        <w:rPr>
          <w:rFonts w:asciiTheme="majorHAnsi" w:hAnsiTheme="majorHAnsi" w:cstheme="majorHAnsi"/>
          <w:color w:val="00B050"/>
        </w:rPr>
      </w:pPr>
      <w:r w:rsidRPr="001564DC">
        <w:rPr>
          <w:rFonts w:asciiTheme="majorHAnsi" w:hAnsiTheme="majorHAnsi" w:cstheme="majorHAnsi"/>
          <w:color w:val="00B050"/>
        </w:rPr>
        <w:t>CVS Tachycardia, arrhythmias, bradycardia.</w:t>
      </w:r>
    </w:p>
    <w:p w14:paraId="7867C345" w14:textId="77777777" w:rsidR="00895684" w:rsidRPr="001564DC" w:rsidRDefault="00895684" w:rsidP="00895684">
      <w:pPr>
        <w:rPr>
          <w:rFonts w:asciiTheme="majorHAnsi" w:hAnsiTheme="majorHAnsi" w:cstheme="majorHAnsi"/>
          <w:color w:val="00B050"/>
        </w:rPr>
      </w:pPr>
      <w:r w:rsidRPr="001564DC">
        <w:rPr>
          <w:rFonts w:asciiTheme="majorHAnsi" w:hAnsiTheme="majorHAnsi" w:cstheme="majorHAnsi"/>
          <w:color w:val="00B050"/>
        </w:rPr>
        <w:t>Hypertension/Hypotension</w:t>
      </w:r>
    </w:p>
    <w:p w14:paraId="3FBB18FD" w14:textId="77777777" w:rsidR="00895684" w:rsidRPr="001564DC" w:rsidRDefault="00895684" w:rsidP="00895684">
      <w:pPr>
        <w:rPr>
          <w:rFonts w:asciiTheme="majorHAnsi" w:hAnsiTheme="majorHAnsi" w:cstheme="majorHAnsi"/>
          <w:color w:val="00B050"/>
        </w:rPr>
      </w:pPr>
    </w:p>
    <w:p w14:paraId="07BA838C" w14:textId="77777777" w:rsidR="00895684" w:rsidRPr="001564DC" w:rsidRDefault="00895684" w:rsidP="00895684">
      <w:pPr>
        <w:rPr>
          <w:rFonts w:asciiTheme="majorHAnsi" w:hAnsiTheme="majorHAnsi" w:cstheme="majorHAnsi"/>
          <w:color w:val="FF0000"/>
        </w:rPr>
      </w:pPr>
      <w:r w:rsidRPr="001564DC">
        <w:rPr>
          <w:rFonts w:asciiTheme="majorHAnsi" w:hAnsiTheme="majorHAnsi" w:cstheme="majorHAnsi"/>
          <w:color w:val="FF0000"/>
          <w:sz w:val="22"/>
          <w:szCs w:val="22"/>
          <w:shd w:val="clear" w:color="auto" w:fill="FFFFFF"/>
        </w:rPr>
        <w:t>Always check for Medicalert bracelet in any unconscious patient, or any other signs of underlying medical condition (fingerprick marks etc.)</w:t>
      </w:r>
    </w:p>
    <w:p w14:paraId="195538FA" w14:textId="77777777" w:rsidR="00895684" w:rsidRPr="001564DC" w:rsidRDefault="00895684" w:rsidP="00895684">
      <w:pPr>
        <w:rPr>
          <w:rFonts w:asciiTheme="majorHAnsi" w:hAnsiTheme="majorHAnsi" w:cstheme="majorHAnsi"/>
          <w:u w:val="single"/>
        </w:rPr>
      </w:pPr>
    </w:p>
    <w:p w14:paraId="75777B40" w14:textId="77777777" w:rsidR="00EF7750" w:rsidRPr="001564DC" w:rsidRDefault="00EF7750">
      <w:pPr>
        <w:rPr>
          <w:rFonts w:asciiTheme="majorHAnsi" w:hAnsiTheme="majorHAnsi" w:cstheme="majorHAnsi"/>
          <w:color w:val="000000"/>
        </w:rPr>
      </w:pPr>
    </w:p>
    <w:p w14:paraId="03C03B71" w14:textId="77777777" w:rsidR="00222683" w:rsidRPr="001564DC" w:rsidRDefault="00895684" w:rsidP="00895684">
      <w:pPr>
        <w:rPr>
          <w:rFonts w:asciiTheme="majorHAnsi" w:hAnsiTheme="majorHAnsi" w:cstheme="majorHAnsi"/>
          <w:b/>
          <w:color w:val="000000"/>
        </w:rPr>
      </w:pPr>
      <w:r w:rsidRPr="001564DC">
        <w:rPr>
          <w:rFonts w:asciiTheme="majorHAnsi" w:hAnsiTheme="majorHAnsi" w:cstheme="majorHAnsi"/>
          <w:b/>
          <w:color w:val="FF0000"/>
        </w:rPr>
        <w:t>Investigations</w:t>
      </w:r>
    </w:p>
    <w:p w14:paraId="00B514D4" w14:textId="77777777" w:rsidR="00D510A4" w:rsidRPr="001564DC" w:rsidRDefault="00D510A4">
      <w:pPr>
        <w:rPr>
          <w:rFonts w:asciiTheme="majorHAnsi" w:hAnsiTheme="majorHAnsi" w:cstheme="majorHAnsi"/>
          <w:b/>
          <w:color w:val="000000"/>
        </w:rPr>
      </w:pPr>
    </w:p>
    <w:p w14:paraId="3DECB406" w14:textId="77777777" w:rsidR="00B35F9E" w:rsidRPr="001564DC" w:rsidRDefault="00D510A4">
      <w:pPr>
        <w:rPr>
          <w:rFonts w:asciiTheme="majorHAnsi" w:hAnsiTheme="majorHAnsi" w:cstheme="majorHAnsi"/>
          <w:color w:val="00B050"/>
        </w:rPr>
      </w:pPr>
      <w:r w:rsidRPr="001564DC">
        <w:rPr>
          <w:rFonts w:asciiTheme="majorHAnsi" w:hAnsiTheme="majorHAnsi" w:cstheme="majorHAnsi"/>
          <w:color w:val="00B050"/>
        </w:rPr>
        <w:t>All or only those requiring further assessment:</w:t>
      </w:r>
    </w:p>
    <w:p w14:paraId="3CC32E10" w14:textId="77777777" w:rsidR="00D510A4" w:rsidRPr="001564DC" w:rsidRDefault="00D510A4">
      <w:pPr>
        <w:rPr>
          <w:rFonts w:asciiTheme="majorHAnsi" w:hAnsiTheme="majorHAnsi" w:cstheme="majorHAnsi"/>
          <w:color w:val="00B050"/>
        </w:rPr>
      </w:pPr>
    </w:p>
    <w:p w14:paraId="26CADFA0" w14:textId="77777777" w:rsidR="00B35F9E" w:rsidRPr="001564DC" w:rsidRDefault="00A92E61">
      <w:pPr>
        <w:rPr>
          <w:rFonts w:asciiTheme="majorHAnsi" w:hAnsiTheme="majorHAnsi" w:cstheme="majorHAnsi"/>
          <w:color w:val="00B050"/>
        </w:rPr>
      </w:pPr>
      <w:r w:rsidRPr="001564DC">
        <w:rPr>
          <w:rFonts w:asciiTheme="majorHAnsi" w:hAnsiTheme="majorHAnsi" w:cstheme="majorHAnsi"/>
          <w:color w:val="00B050"/>
        </w:rPr>
        <w:t>ECG: (initially and repeat at 4 hours till normal)</w:t>
      </w:r>
      <w:r w:rsidR="00222683" w:rsidRPr="001564DC">
        <w:rPr>
          <w:rFonts w:asciiTheme="majorHAnsi" w:hAnsiTheme="majorHAnsi" w:cstheme="majorHAnsi"/>
          <w:color w:val="00B050"/>
        </w:rPr>
        <w:t xml:space="preserve">. </w:t>
      </w:r>
      <w:r w:rsidRPr="001564DC">
        <w:rPr>
          <w:rFonts w:asciiTheme="majorHAnsi" w:hAnsiTheme="majorHAnsi" w:cstheme="majorHAnsi"/>
          <w:color w:val="00B050"/>
        </w:rPr>
        <w:t xml:space="preserve"> </w:t>
      </w:r>
    </w:p>
    <w:p w14:paraId="4FF1BF5C" w14:textId="77777777" w:rsidR="00D510A4" w:rsidRPr="001564DC" w:rsidRDefault="00B35F9E">
      <w:pPr>
        <w:rPr>
          <w:rFonts w:asciiTheme="majorHAnsi" w:hAnsiTheme="majorHAnsi" w:cstheme="majorHAnsi"/>
          <w:color w:val="00B050"/>
        </w:rPr>
      </w:pPr>
      <w:r w:rsidRPr="001564DC">
        <w:rPr>
          <w:rFonts w:asciiTheme="majorHAnsi" w:hAnsiTheme="majorHAnsi" w:cstheme="majorHAnsi"/>
          <w:color w:val="00B050"/>
        </w:rPr>
        <w:t xml:space="preserve">There is little paediatric evidence for the long QT </w:t>
      </w:r>
      <w:r w:rsidR="00222683" w:rsidRPr="001564DC">
        <w:rPr>
          <w:rFonts w:asciiTheme="majorHAnsi" w:hAnsiTheme="majorHAnsi" w:cstheme="majorHAnsi"/>
          <w:color w:val="00B050"/>
        </w:rPr>
        <w:t>L</w:t>
      </w:r>
      <w:r w:rsidR="00A92E61" w:rsidRPr="001564DC">
        <w:rPr>
          <w:rFonts w:asciiTheme="majorHAnsi" w:hAnsiTheme="majorHAnsi" w:cstheme="majorHAnsi"/>
          <w:color w:val="00B050"/>
        </w:rPr>
        <w:t xml:space="preserve">ong </w:t>
      </w:r>
      <w:r w:rsidRPr="001564DC">
        <w:rPr>
          <w:rFonts w:asciiTheme="majorHAnsi" w:hAnsiTheme="majorHAnsi" w:cstheme="majorHAnsi"/>
          <w:color w:val="00B050"/>
        </w:rPr>
        <w:t xml:space="preserve">nomogram and standard methods of determining risk should be used. </w:t>
      </w:r>
    </w:p>
    <w:p w14:paraId="08471C25" w14:textId="77777777" w:rsidR="00D510A4" w:rsidRPr="001564DC" w:rsidRDefault="00D510A4">
      <w:pPr>
        <w:rPr>
          <w:rFonts w:asciiTheme="majorHAnsi" w:hAnsiTheme="majorHAnsi" w:cstheme="majorHAnsi"/>
          <w:color w:val="00B050"/>
        </w:rPr>
      </w:pPr>
    </w:p>
    <w:p w14:paraId="2B0F6440" w14:textId="77777777" w:rsidR="00D510A4" w:rsidRPr="001564DC" w:rsidRDefault="00D510A4">
      <w:pPr>
        <w:rPr>
          <w:rFonts w:asciiTheme="majorHAnsi" w:hAnsiTheme="majorHAnsi" w:cstheme="majorHAnsi"/>
          <w:color w:val="00B050"/>
        </w:rPr>
      </w:pPr>
      <w:r w:rsidRPr="001564DC">
        <w:rPr>
          <w:rFonts w:asciiTheme="majorHAnsi" w:hAnsiTheme="majorHAnsi" w:cstheme="majorHAnsi"/>
        </w:rPr>
        <w:t>Pathology</w:t>
      </w:r>
      <w:r w:rsidRPr="001564DC">
        <w:rPr>
          <w:rFonts w:asciiTheme="majorHAnsi" w:hAnsiTheme="majorHAnsi" w:cstheme="majorHAnsi"/>
          <w:color w:val="00B050"/>
        </w:rPr>
        <w:t xml:space="preserve">: </w:t>
      </w:r>
    </w:p>
    <w:p w14:paraId="0885B68F" w14:textId="77777777" w:rsidR="00D510A4" w:rsidRPr="001564DC" w:rsidRDefault="00D510A4">
      <w:pPr>
        <w:rPr>
          <w:rFonts w:asciiTheme="majorHAnsi" w:hAnsiTheme="majorHAnsi" w:cstheme="majorHAnsi"/>
          <w:color w:val="00B050"/>
        </w:rPr>
      </w:pPr>
      <w:r w:rsidRPr="001564DC">
        <w:rPr>
          <w:rFonts w:asciiTheme="majorHAnsi" w:hAnsiTheme="majorHAnsi" w:cstheme="majorHAnsi"/>
          <w:color w:val="00B050"/>
        </w:rPr>
        <w:t>Drug level</w:t>
      </w:r>
    </w:p>
    <w:p w14:paraId="0CB92E1F" w14:textId="77777777" w:rsidR="00A92E61" w:rsidRPr="001564DC" w:rsidRDefault="00D510A4">
      <w:pPr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B050"/>
        </w:rPr>
        <w:t>Paracetamol level in all intentional overdoses</w:t>
      </w:r>
    </w:p>
    <w:p w14:paraId="372B0825" w14:textId="77777777" w:rsidR="00A92E61" w:rsidRPr="001564DC" w:rsidRDefault="00A92E61">
      <w:pPr>
        <w:rPr>
          <w:rFonts w:asciiTheme="majorHAnsi" w:hAnsiTheme="majorHAnsi" w:cstheme="majorHAnsi"/>
          <w:color w:val="000000"/>
        </w:rPr>
      </w:pPr>
    </w:p>
    <w:p w14:paraId="08E445B7" w14:textId="77777777" w:rsidR="005D5B29" w:rsidRPr="001564DC" w:rsidRDefault="005D5B29">
      <w:pPr>
        <w:rPr>
          <w:rFonts w:asciiTheme="majorHAnsi" w:hAnsiTheme="majorHAnsi" w:cstheme="majorHAnsi"/>
          <w:color w:val="000000"/>
        </w:rPr>
      </w:pPr>
    </w:p>
    <w:p w14:paraId="385341E4" w14:textId="77777777" w:rsidR="00AE095C" w:rsidRPr="001564DC" w:rsidRDefault="00A92E61">
      <w:pPr>
        <w:rPr>
          <w:rFonts w:asciiTheme="majorHAnsi" w:hAnsiTheme="majorHAnsi" w:cstheme="majorHAnsi"/>
          <w:b/>
          <w:color w:val="C00000"/>
          <w:sz w:val="28"/>
          <w:szCs w:val="28"/>
        </w:rPr>
      </w:pPr>
      <w:r w:rsidRPr="001564DC">
        <w:rPr>
          <w:rFonts w:asciiTheme="majorHAnsi" w:hAnsiTheme="majorHAnsi" w:cstheme="majorHAnsi"/>
          <w:b/>
          <w:color w:val="C00000"/>
          <w:sz w:val="28"/>
          <w:szCs w:val="28"/>
        </w:rPr>
        <w:t>Acute Management</w:t>
      </w:r>
    </w:p>
    <w:p w14:paraId="6D139B72" w14:textId="77777777" w:rsidR="00A92E61" w:rsidRPr="001564DC" w:rsidRDefault="00A92E61">
      <w:pPr>
        <w:rPr>
          <w:rFonts w:asciiTheme="majorHAnsi" w:hAnsiTheme="majorHAnsi" w:cstheme="majorHAnsi"/>
          <w:b/>
          <w:color w:val="000000"/>
        </w:rPr>
      </w:pPr>
    </w:p>
    <w:p w14:paraId="243F5987" w14:textId="77777777" w:rsidR="00A92E61" w:rsidRPr="001564DC" w:rsidRDefault="00A92E61">
      <w:pPr>
        <w:rPr>
          <w:rFonts w:asciiTheme="majorHAnsi" w:hAnsiTheme="majorHAnsi" w:cstheme="majorHAnsi"/>
          <w:b/>
          <w:color w:val="000000"/>
        </w:rPr>
      </w:pPr>
      <w:r w:rsidRPr="001564DC">
        <w:rPr>
          <w:rFonts w:asciiTheme="majorHAnsi" w:hAnsiTheme="majorHAnsi" w:cstheme="majorHAnsi"/>
          <w:b/>
          <w:color w:val="000000"/>
        </w:rPr>
        <w:t xml:space="preserve">1. </w:t>
      </w:r>
      <w:hyperlink r:id="rId8" w:history="1">
        <w:r w:rsidRPr="001564DC">
          <w:rPr>
            <w:rStyle w:val="Hyperlink"/>
            <w:rFonts w:asciiTheme="majorHAnsi" w:hAnsiTheme="majorHAnsi" w:cstheme="majorHAnsi"/>
            <w:b/>
          </w:rPr>
          <w:t>Resuscitation</w:t>
        </w:r>
      </w:hyperlink>
    </w:p>
    <w:p w14:paraId="2D5A6649" w14:textId="77777777" w:rsidR="00A92E61" w:rsidRPr="001564DC" w:rsidRDefault="00A92E61" w:rsidP="00A92E61">
      <w:pPr>
        <w:rPr>
          <w:rFonts w:asciiTheme="majorHAnsi" w:hAnsiTheme="majorHAnsi" w:cstheme="majorHAnsi"/>
          <w:color w:val="00B050"/>
        </w:rPr>
      </w:pPr>
      <w:r w:rsidRPr="001564DC">
        <w:rPr>
          <w:rFonts w:asciiTheme="majorHAnsi" w:hAnsiTheme="majorHAnsi" w:cstheme="majorHAnsi"/>
          <w:color w:val="000000"/>
        </w:rPr>
        <w:t xml:space="preserve">Standard procedures and supportive care </w:t>
      </w:r>
      <w:r w:rsidR="00B35F9E" w:rsidRPr="001564DC">
        <w:rPr>
          <w:rFonts w:asciiTheme="majorHAnsi" w:hAnsiTheme="majorHAnsi" w:cstheme="majorHAnsi"/>
          <w:color w:val="00B050"/>
        </w:rPr>
        <w:t>(plus anything specific or unusual</w:t>
      </w:r>
      <w:r w:rsidR="00594DBF" w:rsidRPr="001564DC">
        <w:rPr>
          <w:rFonts w:asciiTheme="majorHAnsi" w:hAnsiTheme="majorHAnsi" w:cstheme="majorHAnsi"/>
          <w:color w:val="00B050"/>
        </w:rPr>
        <w:t xml:space="preserve"> e</w:t>
      </w:r>
      <w:r w:rsidR="001C485F" w:rsidRPr="001564DC">
        <w:rPr>
          <w:rFonts w:asciiTheme="majorHAnsi" w:hAnsiTheme="majorHAnsi" w:cstheme="majorHAnsi"/>
          <w:color w:val="00B050"/>
        </w:rPr>
        <w:t>.g.</w:t>
      </w:r>
      <w:r w:rsidR="00B35F9E" w:rsidRPr="001564DC">
        <w:rPr>
          <w:rFonts w:asciiTheme="majorHAnsi" w:hAnsiTheme="majorHAnsi" w:cstheme="majorHAnsi"/>
          <w:color w:val="00B050"/>
        </w:rPr>
        <w:t xml:space="preserve"> </w:t>
      </w:r>
      <w:r w:rsidRPr="001564DC">
        <w:rPr>
          <w:rFonts w:asciiTheme="majorHAnsi" w:hAnsiTheme="majorHAnsi" w:cstheme="majorHAnsi"/>
          <w:color w:val="00B050"/>
        </w:rPr>
        <w:t>Hypotension</w:t>
      </w:r>
      <w:r w:rsidR="001C485F" w:rsidRPr="001564DC">
        <w:rPr>
          <w:rFonts w:asciiTheme="majorHAnsi" w:hAnsiTheme="majorHAnsi" w:cstheme="majorHAnsi"/>
          <w:color w:val="00B050"/>
        </w:rPr>
        <w:t>; -</w:t>
      </w:r>
      <w:r w:rsidRPr="001564DC">
        <w:rPr>
          <w:rFonts w:asciiTheme="majorHAnsi" w:hAnsiTheme="majorHAnsi" w:cstheme="majorHAnsi"/>
          <w:color w:val="00B050"/>
        </w:rPr>
        <w:t xml:space="preserve"> treat with bolus 20 mL/kg N Saline. Repeat if remains hypotensive. </w:t>
      </w:r>
      <w:r w:rsidRPr="001564DC">
        <w:rPr>
          <w:rFonts w:asciiTheme="majorHAnsi" w:hAnsiTheme="majorHAnsi" w:cstheme="majorHAnsi"/>
          <w:color w:val="00B050"/>
        </w:rPr>
        <w:lastRenderedPageBreak/>
        <w:t>Ongoing hypotension – treat with noradrenaline infusion (link dose) as Adrenaline paradoxically worsens hypotension</w:t>
      </w:r>
    </w:p>
    <w:p w14:paraId="0012DAFC" w14:textId="77777777" w:rsidR="00A92E61" w:rsidRPr="001564DC" w:rsidRDefault="00A92E61">
      <w:pPr>
        <w:rPr>
          <w:rFonts w:asciiTheme="majorHAnsi" w:hAnsiTheme="majorHAnsi" w:cstheme="majorHAnsi"/>
          <w:color w:val="000000"/>
        </w:rPr>
      </w:pPr>
    </w:p>
    <w:p w14:paraId="6E67AE91" w14:textId="77777777" w:rsidR="00A92E61" w:rsidRPr="001564DC" w:rsidRDefault="00A92E61">
      <w:pPr>
        <w:rPr>
          <w:rFonts w:asciiTheme="majorHAnsi" w:hAnsiTheme="majorHAnsi" w:cstheme="majorHAnsi"/>
          <w:b/>
          <w:color w:val="000000"/>
        </w:rPr>
      </w:pPr>
      <w:r w:rsidRPr="001564DC">
        <w:rPr>
          <w:rFonts w:asciiTheme="majorHAnsi" w:hAnsiTheme="majorHAnsi" w:cstheme="majorHAnsi"/>
          <w:b/>
          <w:color w:val="000000"/>
        </w:rPr>
        <w:t xml:space="preserve">2. Decontamination  </w:t>
      </w:r>
    </w:p>
    <w:p w14:paraId="1AA0D349" w14:textId="77777777" w:rsidR="00A92E61" w:rsidRPr="001564DC" w:rsidRDefault="00A92E61">
      <w:pPr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>Consider charcoal if massive ingestion and within 1 h</w:t>
      </w:r>
      <w:r w:rsidR="008B017A" w:rsidRPr="001564DC">
        <w:rPr>
          <w:rFonts w:asciiTheme="majorHAnsi" w:hAnsiTheme="majorHAnsi" w:cstheme="majorHAnsi"/>
          <w:color w:val="000000"/>
        </w:rPr>
        <w:t>our, or after airway protection</w:t>
      </w:r>
      <w:r w:rsidRPr="001564DC">
        <w:rPr>
          <w:rFonts w:asciiTheme="majorHAnsi" w:hAnsiTheme="majorHAnsi" w:cstheme="majorHAnsi"/>
          <w:color w:val="000000"/>
        </w:rPr>
        <w:t xml:space="preserve">. </w:t>
      </w:r>
    </w:p>
    <w:p w14:paraId="26D65A48" w14:textId="77777777" w:rsidR="00B35F9E" w:rsidRPr="001564DC" w:rsidRDefault="00B35F9E">
      <w:pPr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>Discuss with toxicologist</w:t>
      </w:r>
    </w:p>
    <w:p w14:paraId="08524FEE" w14:textId="77777777" w:rsidR="00A92E61" w:rsidRPr="001564DC" w:rsidRDefault="00A92E61">
      <w:pPr>
        <w:rPr>
          <w:rFonts w:asciiTheme="majorHAnsi" w:hAnsiTheme="majorHAnsi" w:cstheme="majorHAnsi"/>
          <w:color w:val="000000"/>
        </w:rPr>
      </w:pPr>
    </w:p>
    <w:p w14:paraId="58D113C8" w14:textId="77777777" w:rsidR="00A92E61" w:rsidRPr="001564DC" w:rsidRDefault="00A92E61">
      <w:pPr>
        <w:rPr>
          <w:rFonts w:asciiTheme="majorHAnsi" w:hAnsiTheme="majorHAnsi" w:cstheme="majorHAnsi"/>
          <w:b/>
          <w:color w:val="000000"/>
        </w:rPr>
      </w:pPr>
      <w:r w:rsidRPr="001564DC">
        <w:rPr>
          <w:rFonts w:asciiTheme="majorHAnsi" w:hAnsiTheme="majorHAnsi" w:cstheme="majorHAnsi"/>
          <w:b/>
          <w:color w:val="000000"/>
        </w:rPr>
        <w:t>Ongoing care and monitoring</w:t>
      </w:r>
    </w:p>
    <w:p w14:paraId="67F0D3F1" w14:textId="77777777" w:rsidR="00A92E61" w:rsidRPr="001564DC" w:rsidRDefault="00A92E61">
      <w:pPr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>Ingestion &lt;</w:t>
      </w:r>
      <w:r w:rsidR="00B35F9E" w:rsidRPr="001564DC">
        <w:rPr>
          <w:rFonts w:asciiTheme="majorHAnsi" w:hAnsiTheme="majorHAnsi" w:cstheme="majorHAnsi"/>
          <w:color w:val="00B050"/>
        </w:rPr>
        <w:t>x</w:t>
      </w:r>
      <w:r w:rsidRPr="001564DC">
        <w:rPr>
          <w:rFonts w:asciiTheme="majorHAnsi" w:hAnsiTheme="majorHAnsi" w:cstheme="majorHAnsi"/>
          <w:color w:val="00B050"/>
        </w:rPr>
        <w:t xml:space="preserve"> </w:t>
      </w:r>
      <w:r w:rsidR="00222683" w:rsidRPr="001564DC">
        <w:rPr>
          <w:rFonts w:asciiTheme="majorHAnsi" w:hAnsiTheme="majorHAnsi" w:cstheme="majorHAnsi"/>
          <w:color w:val="000000"/>
        </w:rPr>
        <w:t>mg/kg and &lt;</w:t>
      </w:r>
      <w:r w:rsidRPr="001564DC">
        <w:rPr>
          <w:rFonts w:asciiTheme="majorHAnsi" w:hAnsiTheme="majorHAnsi" w:cstheme="majorHAnsi"/>
          <w:color w:val="000000"/>
        </w:rPr>
        <w:t xml:space="preserve"> </w:t>
      </w:r>
      <w:r w:rsidR="00B35F9E" w:rsidRPr="001564DC">
        <w:rPr>
          <w:rFonts w:asciiTheme="majorHAnsi" w:hAnsiTheme="majorHAnsi" w:cstheme="majorHAnsi"/>
          <w:color w:val="00B050"/>
        </w:rPr>
        <w:t>x</w:t>
      </w:r>
      <w:r w:rsidR="00B35F9E" w:rsidRPr="001564DC">
        <w:rPr>
          <w:rFonts w:asciiTheme="majorHAnsi" w:hAnsiTheme="majorHAnsi" w:cstheme="majorHAnsi"/>
          <w:color w:val="000000"/>
        </w:rPr>
        <w:t xml:space="preserve"> </w:t>
      </w:r>
      <w:r w:rsidRPr="001564DC">
        <w:rPr>
          <w:rFonts w:asciiTheme="majorHAnsi" w:hAnsiTheme="majorHAnsi" w:cstheme="majorHAnsi"/>
          <w:color w:val="000000"/>
        </w:rPr>
        <w:t>mg</w:t>
      </w:r>
      <w:r w:rsidR="00B35F9E" w:rsidRPr="001564DC">
        <w:rPr>
          <w:rFonts w:asciiTheme="majorHAnsi" w:hAnsiTheme="majorHAnsi" w:cstheme="majorHAnsi"/>
          <w:color w:val="000000"/>
        </w:rPr>
        <w:t>/kg</w:t>
      </w:r>
      <w:r w:rsidRPr="001564DC">
        <w:rPr>
          <w:rFonts w:asciiTheme="majorHAnsi" w:hAnsiTheme="majorHAnsi" w:cstheme="majorHAnsi"/>
          <w:color w:val="000000"/>
        </w:rPr>
        <w:t xml:space="preserve"> – monitor for </w:t>
      </w:r>
      <w:r w:rsidR="00B35F9E" w:rsidRPr="001564DC">
        <w:rPr>
          <w:rFonts w:asciiTheme="majorHAnsi" w:hAnsiTheme="majorHAnsi" w:cstheme="majorHAnsi"/>
          <w:color w:val="000000"/>
        </w:rPr>
        <w:t>x</w:t>
      </w:r>
      <w:r w:rsidRPr="001564DC">
        <w:rPr>
          <w:rFonts w:asciiTheme="majorHAnsi" w:hAnsiTheme="majorHAnsi" w:cstheme="majorHAnsi"/>
          <w:color w:val="000000"/>
        </w:rPr>
        <w:t xml:space="preserve"> hours</w:t>
      </w:r>
    </w:p>
    <w:p w14:paraId="1CFFC129" w14:textId="77777777" w:rsidR="00A92E61" w:rsidRPr="001564DC" w:rsidRDefault="00A92E61">
      <w:pPr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>Ingestion &gt;</w:t>
      </w:r>
      <w:r w:rsidRPr="001564DC">
        <w:rPr>
          <w:rFonts w:asciiTheme="majorHAnsi" w:hAnsiTheme="majorHAnsi" w:cstheme="majorHAnsi"/>
          <w:color w:val="00B050"/>
        </w:rPr>
        <w:t xml:space="preserve"> </w:t>
      </w:r>
      <w:r w:rsidR="00B35F9E" w:rsidRPr="001564DC">
        <w:rPr>
          <w:rFonts w:asciiTheme="majorHAnsi" w:hAnsiTheme="majorHAnsi" w:cstheme="majorHAnsi"/>
          <w:color w:val="00B050"/>
        </w:rPr>
        <w:t xml:space="preserve">y </w:t>
      </w:r>
      <w:r w:rsidRPr="001564DC">
        <w:rPr>
          <w:rFonts w:asciiTheme="majorHAnsi" w:hAnsiTheme="majorHAnsi" w:cstheme="majorHAnsi"/>
          <w:color w:val="000000"/>
        </w:rPr>
        <w:t>mg</w:t>
      </w:r>
      <w:r w:rsidR="00B35F9E" w:rsidRPr="001564DC">
        <w:rPr>
          <w:rFonts w:asciiTheme="majorHAnsi" w:hAnsiTheme="majorHAnsi" w:cstheme="majorHAnsi"/>
          <w:color w:val="000000"/>
        </w:rPr>
        <w:t>/ kg</w:t>
      </w:r>
      <w:r w:rsidRPr="001564DC">
        <w:rPr>
          <w:rFonts w:asciiTheme="majorHAnsi" w:hAnsiTheme="majorHAnsi" w:cstheme="majorHAnsi"/>
          <w:color w:val="000000"/>
        </w:rPr>
        <w:t xml:space="preserve"> or sustained release- monitor for </w:t>
      </w:r>
      <w:r w:rsidR="00B35F9E" w:rsidRPr="001564DC">
        <w:rPr>
          <w:rFonts w:asciiTheme="majorHAnsi" w:hAnsiTheme="majorHAnsi" w:cstheme="majorHAnsi"/>
          <w:color w:val="000000"/>
        </w:rPr>
        <w:t>y</w:t>
      </w:r>
      <w:r w:rsidRPr="001564DC">
        <w:rPr>
          <w:rFonts w:asciiTheme="majorHAnsi" w:hAnsiTheme="majorHAnsi" w:cstheme="majorHAnsi"/>
          <w:color w:val="000000"/>
        </w:rPr>
        <w:t xml:space="preserve"> hours</w:t>
      </w:r>
    </w:p>
    <w:p w14:paraId="1AA1F7FF" w14:textId="77777777" w:rsidR="00A92E61" w:rsidRPr="001564DC" w:rsidRDefault="00A92E61">
      <w:pPr>
        <w:rPr>
          <w:rFonts w:asciiTheme="majorHAnsi" w:hAnsiTheme="majorHAnsi" w:cstheme="majorHAnsi"/>
          <w:color w:val="000000"/>
        </w:rPr>
      </w:pPr>
    </w:p>
    <w:p w14:paraId="52B3AAA8" w14:textId="77777777" w:rsidR="00A92E61" w:rsidRPr="001564DC" w:rsidRDefault="00A92E61">
      <w:pPr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>Enhance elimination – ineffective</w:t>
      </w:r>
      <w:r w:rsidR="00B35F9E" w:rsidRPr="001564DC">
        <w:rPr>
          <w:rFonts w:asciiTheme="majorHAnsi" w:hAnsiTheme="majorHAnsi" w:cstheme="majorHAnsi"/>
          <w:color w:val="000000"/>
        </w:rPr>
        <w:t xml:space="preserve"> </w:t>
      </w:r>
      <w:r w:rsidR="00B35F9E" w:rsidRPr="001564DC">
        <w:rPr>
          <w:rFonts w:asciiTheme="majorHAnsi" w:hAnsiTheme="majorHAnsi" w:cstheme="majorHAnsi"/>
          <w:color w:val="00B050"/>
        </w:rPr>
        <w:t>(or metho</w:t>
      </w:r>
      <w:r w:rsidR="008B017A" w:rsidRPr="001564DC">
        <w:rPr>
          <w:rFonts w:asciiTheme="majorHAnsi" w:hAnsiTheme="majorHAnsi" w:cstheme="majorHAnsi"/>
          <w:color w:val="00B050"/>
        </w:rPr>
        <w:t>d)</w:t>
      </w:r>
    </w:p>
    <w:p w14:paraId="51A6D1A3" w14:textId="77777777" w:rsidR="00A92E61" w:rsidRPr="001564DC" w:rsidRDefault="00A92E61">
      <w:pPr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 xml:space="preserve">Antidote </w:t>
      </w:r>
      <w:r w:rsidR="00B35F9E" w:rsidRPr="001564DC">
        <w:rPr>
          <w:rFonts w:asciiTheme="majorHAnsi" w:hAnsiTheme="majorHAnsi" w:cstheme="majorHAnsi"/>
          <w:color w:val="000000"/>
        </w:rPr>
        <w:t>–</w:t>
      </w:r>
      <w:r w:rsidRPr="001564DC">
        <w:rPr>
          <w:rFonts w:asciiTheme="majorHAnsi" w:hAnsiTheme="majorHAnsi" w:cstheme="majorHAnsi"/>
          <w:color w:val="000000"/>
        </w:rPr>
        <w:t xml:space="preserve"> Nil</w:t>
      </w:r>
      <w:r w:rsidR="00B35F9E" w:rsidRPr="001564DC">
        <w:rPr>
          <w:rFonts w:asciiTheme="majorHAnsi" w:hAnsiTheme="majorHAnsi" w:cstheme="majorHAnsi"/>
          <w:color w:val="000000"/>
        </w:rPr>
        <w:t xml:space="preserve"> </w:t>
      </w:r>
      <w:r w:rsidR="00B35F9E" w:rsidRPr="001564DC">
        <w:rPr>
          <w:rFonts w:asciiTheme="majorHAnsi" w:hAnsiTheme="majorHAnsi" w:cstheme="majorHAnsi"/>
          <w:color w:val="00B050"/>
        </w:rPr>
        <w:t>(or details)</w:t>
      </w:r>
    </w:p>
    <w:p w14:paraId="07C5358E" w14:textId="77777777" w:rsidR="00A92E61" w:rsidRPr="001564DC" w:rsidRDefault="00A92E61">
      <w:pPr>
        <w:rPr>
          <w:rFonts w:asciiTheme="majorHAnsi" w:hAnsiTheme="majorHAnsi" w:cstheme="majorHAnsi"/>
          <w:color w:val="000000"/>
        </w:rPr>
      </w:pPr>
    </w:p>
    <w:p w14:paraId="33A44C2C" w14:textId="77777777" w:rsidR="00A92E61" w:rsidRPr="001564DC" w:rsidRDefault="00A92E61">
      <w:pPr>
        <w:rPr>
          <w:rFonts w:asciiTheme="majorHAnsi" w:hAnsiTheme="majorHAnsi" w:cstheme="majorHAnsi"/>
          <w:b/>
          <w:color w:val="000000"/>
        </w:rPr>
      </w:pPr>
    </w:p>
    <w:p w14:paraId="410B07AE" w14:textId="5CABA853" w:rsidR="00687480" w:rsidRPr="001564DC" w:rsidRDefault="00687480" w:rsidP="00687480">
      <w:pPr>
        <w:rPr>
          <w:rFonts w:asciiTheme="majorHAnsi" w:hAnsiTheme="majorHAnsi" w:cstheme="majorHAnsi"/>
          <w:b/>
          <w:color w:val="C00000"/>
          <w:sz w:val="28"/>
          <w:szCs w:val="28"/>
        </w:rPr>
      </w:pPr>
      <w:r w:rsidRPr="001564DC">
        <w:rPr>
          <w:rFonts w:asciiTheme="majorHAnsi" w:hAnsiTheme="majorHAnsi" w:cstheme="majorHAnsi"/>
          <w:b/>
          <w:color w:val="C00000"/>
          <w:sz w:val="28"/>
          <w:szCs w:val="28"/>
        </w:rPr>
        <w:t>Consider consultation with local paediatric team whe</w:t>
      </w:r>
      <w:r w:rsidR="00BC74BD">
        <w:rPr>
          <w:rFonts w:asciiTheme="majorHAnsi" w:hAnsiTheme="majorHAnsi" w:cstheme="majorHAnsi"/>
          <w:b/>
          <w:color w:val="C00000"/>
          <w:sz w:val="28"/>
          <w:szCs w:val="28"/>
        </w:rPr>
        <w:t>n</w:t>
      </w:r>
    </w:p>
    <w:p w14:paraId="487D245C" w14:textId="77777777" w:rsidR="00BC74BD" w:rsidRPr="00745A69" w:rsidRDefault="00BC74BD" w:rsidP="00BC74BD">
      <w:pPr>
        <w:rPr>
          <w:rFonts w:asciiTheme="majorHAnsi" w:hAnsiTheme="majorHAnsi" w:cstheme="majorHAnsi"/>
          <w:color w:val="00B050"/>
        </w:rPr>
      </w:pPr>
      <w:r w:rsidRPr="00745A69">
        <w:rPr>
          <w:rFonts w:asciiTheme="majorHAnsi" w:hAnsiTheme="majorHAnsi" w:cstheme="majorHAnsi"/>
          <w:color w:val="00B050"/>
        </w:rPr>
        <w:t>(When to admit/consult local paediatric team, or who/when to phone)</w:t>
      </w:r>
    </w:p>
    <w:p w14:paraId="03E8B1DF" w14:textId="324C8B4F" w:rsidR="00BC74BD" w:rsidRDefault="00BC74BD" w:rsidP="00BC74BD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Any child or </w:t>
      </w:r>
      <w:r w:rsidR="000F3DE7">
        <w:rPr>
          <w:rFonts w:asciiTheme="majorHAnsi" w:hAnsiTheme="majorHAnsi" w:cstheme="majorHAnsi"/>
          <w:color w:val="000000"/>
        </w:rPr>
        <w:t>adolescent</w:t>
      </w:r>
      <w:r>
        <w:rPr>
          <w:rFonts w:asciiTheme="majorHAnsi" w:hAnsiTheme="majorHAnsi" w:cstheme="majorHAnsi"/>
          <w:color w:val="000000"/>
        </w:rPr>
        <w:t xml:space="preserve"> presents with intentional overdose as admission</w:t>
      </w:r>
      <w:r w:rsidRPr="00745A69">
        <w:rPr>
          <w:rFonts w:asciiTheme="majorHAnsi" w:hAnsiTheme="majorHAnsi" w:cstheme="majorHAnsi"/>
          <w:color w:val="000000"/>
        </w:rPr>
        <w:t xml:space="preserve"> should be considered</w:t>
      </w:r>
    </w:p>
    <w:p w14:paraId="78A8A817" w14:textId="77777777" w:rsidR="00271FC4" w:rsidRPr="001564DC" w:rsidRDefault="00271FC4">
      <w:pPr>
        <w:rPr>
          <w:rFonts w:asciiTheme="majorHAnsi" w:hAnsiTheme="majorHAnsi" w:cstheme="majorHAnsi"/>
          <w:b/>
          <w:color w:val="000000"/>
        </w:rPr>
      </w:pPr>
    </w:p>
    <w:p w14:paraId="794580B3" w14:textId="06516C9E" w:rsidR="00255B2B" w:rsidRPr="00255B2B" w:rsidRDefault="00255B2B" w:rsidP="00255B2B">
      <w:pPr>
        <w:rPr>
          <w:rFonts w:asciiTheme="majorHAnsi" w:hAnsiTheme="majorHAnsi" w:cstheme="majorHAnsi"/>
          <w:b/>
          <w:color w:val="FF0000"/>
        </w:rPr>
      </w:pPr>
      <w:r w:rsidRPr="00255B2B">
        <w:rPr>
          <w:rFonts w:asciiTheme="majorHAnsi" w:hAnsiTheme="majorHAnsi" w:cstheme="majorHAnsi"/>
          <w:b/>
          <w:color w:val="FF0000"/>
        </w:rPr>
        <w:t>Consult</w:t>
      </w:r>
      <w:r w:rsidRPr="00255B2B">
        <w:rPr>
          <w:rFonts w:asciiTheme="majorHAnsi" w:hAnsiTheme="majorHAnsi" w:cstheme="majorHAnsi"/>
          <w:b/>
          <w:color w:val="000000"/>
        </w:rPr>
        <w:t xml:space="preserve"> </w:t>
      </w:r>
      <w:r w:rsidRPr="00255B2B">
        <w:rPr>
          <w:rFonts w:asciiTheme="majorHAnsi" w:hAnsiTheme="majorHAnsi" w:cstheme="majorHAnsi"/>
          <w:b/>
          <w:color w:val="FF0000"/>
        </w:rPr>
        <w:t>the Poisons Information Centre 13</w:t>
      </w:r>
      <w:r w:rsidR="00962611">
        <w:rPr>
          <w:rFonts w:asciiTheme="majorHAnsi" w:hAnsiTheme="majorHAnsi" w:cstheme="majorHAnsi"/>
          <w:b/>
          <w:color w:val="FF0000"/>
        </w:rPr>
        <w:t xml:space="preserve"> </w:t>
      </w:r>
      <w:r w:rsidRPr="00255B2B">
        <w:rPr>
          <w:rFonts w:asciiTheme="majorHAnsi" w:hAnsiTheme="majorHAnsi" w:cstheme="majorHAnsi"/>
          <w:b/>
          <w:color w:val="FF0000"/>
        </w:rPr>
        <w:t>11</w:t>
      </w:r>
      <w:r w:rsidR="00962611">
        <w:rPr>
          <w:rFonts w:asciiTheme="majorHAnsi" w:hAnsiTheme="majorHAnsi" w:cstheme="majorHAnsi"/>
          <w:b/>
          <w:color w:val="FF0000"/>
        </w:rPr>
        <w:t xml:space="preserve"> </w:t>
      </w:r>
      <w:r w:rsidRPr="00255B2B">
        <w:rPr>
          <w:rFonts w:asciiTheme="majorHAnsi" w:hAnsiTheme="majorHAnsi" w:cstheme="majorHAnsi"/>
          <w:b/>
          <w:color w:val="FF0000"/>
        </w:rPr>
        <w:t>26 for advice</w:t>
      </w:r>
    </w:p>
    <w:p w14:paraId="7A674717" w14:textId="77777777" w:rsidR="00A92E61" w:rsidRPr="001564DC" w:rsidRDefault="00A92E61">
      <w:pPr>
        <w:rPr>
          <w:rFonts w:asciiTheme="majorHAnsi" w:hAnsiTheme="majorHAnsi" w:cstheme="majorHAnsi"/>
          <w:b/>
          <w:color w:val="000000"/>
        </w:rPr>
      </w:pPr>
    </w:p>
    <w:p w14:paraId="671F2521" w14:textId="40657129" w:rsidR="00895684" w:rsidRPr="001564DC" w:rsidRDefault="00895684" w:rsidP="00895684">
      <w:pPr>
        <w:rPr>
          <w:rFonts w:asciiTheme="majorHAnsi" w:hAnsiTheme="majorHAnsi" w:cstheme="majorHAnsi"/>
          <w:b/>
          <w:color w:val="C00000"/>
          <w:sz w:val="28"/>
          <w:szCs w:val="28"/>
        </w:rPr>
      </w:pPr>
      <w:r w:rsidRPr="001564DC">
        <w:rPr>
          <w:rFonts w:asciiTheme="majorHAnsi" w:hAnsiTheme="majorHAnsi" w:cstheme="majorHAnsi"/>
          <w:b/>
          <w:color w:val="C00000"/>
          <w:sz w:val="28"/>
          <w:szCs w:val="28"/>
        </w:rPr>
        <w:t>Consider transfer when</w:t>
      </w:r>
    </w:p>
    <w:p w14:paraId="0D064942" w14:textId="77777777" w:rsidR="00BC74BD" w:rsidRPr="00741155" w:rsidRDefault="00BC74BD" w:rsidP="00BC74BD">
      <w:pPr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Children require </w:t>
      </w:r>
      <w:r w:rsidRPr="00741155">
        <w:rPr>
          <w:rFonts w:asciiTheme="majorHAnsi" w:hAnsiTheme="majorHAnsi" w:cstheme="majorHAnsi"/>
          <w:color w:val="000000"/>
        </w:rPr>
        <w:t>care beyond the comfort level of the current hospital  </w:t>
      </w:r>
    </w:p>
    <w:p w14:paraId="45351110" w14:textId="77777777" w:rsidR="00BC74BD" w:rsidRPr="00745A69" w:rsidRDefault="00BC74BD" w:rsidP="00BC74BD">
      <w:pPr>
        <w:rPr>
          <w:rFonts w:asciiTheme="majorHAnsi" w:hAnsiTheme="majorHAnsi" w:cstheme="majorHAnsi"/>
          <w:color w:val="00B050"/>
        </w:rPr>
      </w:pPr>
      <w:r w:rsidRPr="00745A69">
        <w:rPr>
          <w:rFonts w:asciiTheme="majorHAnsi" w:hAnsiTheme="majorHAnsi" w:cstheme="majorHAnsi"/>
          <w:color w:val="00B050"/>
        </w:rPr>
        <w:t>(</w:t>
      </w:r>
      <w:r>
        <w:rPr>
          <w:rFonts w:asciiTheme="majorHAnsi" w:hAnsiTheme="majorHAnsi" w:cstheme="majorHAnsi"/>
          <w:color w:val="00B050"/>
        </w:rPr>
        <w:t xml:space="preserve">+ further </w:t>
      </w:r>
      <w:r w:rsidRPr="00745A69">
        <w:rPr>
          <w:rFonts w:asciiTheme="majorHAnsi" w:hAnsiTheme="majorHAnsi" w:cstheme="majorHAnsi"/>
          <w:color w:val="00B050"/>
        </w:rPr>
        <w:t>details or advice re escalation of care beyond local centre)</w:t>
      </w:r>
    </w:p>
    <w:p w14:paraId="28D77CAB" w14:textId="1ECA7133" w:rsidR="00A92E61" w:rsidRDefault="00A92E61">
      <w:pPr>
        <w:rPr>
          <w:rFonts w:asciiTheme="majorHAnsi" w:hAnsiTheme="majorHAnsi" w:cstheme="majorHAnsi"/>
          <w:b/>
          <w:color w:val="000000"/>
        </w:rPr>
      </w:pPr>
    </w:p>
    <w:p w14:paraId="57657BB5" w14:textId="355CD28F" w:rsidR="00D11F35" w:rsidRPr="00E43F96" w:rsidRDefault="00E43F96">
      <w:pPr>
        <w:rPr>
          <w:rFonts w:asciiTheme="majorHAnsi" w:hAnsiTheme="majorHAnsi" w:cstheme="majorHAnsi"/>
          <w:b/>
          <w:color w:val="000000"/>
        </w:rPr>
      </w:pPr>
      <w:r w:rsidRPr="00E43F96">
        <w:rPr>
          <w:rFonts w:asciiTheme="majorHAnsi" w:hAnsiTheme="majorHAnsi" w:cstheme="majorHAnsi"/>
          <w:b/>
          <w:bCs/>
          <w:color w:val="FF0000"/>
          <w:shd w:val="clear" w:color="auto" w:fill="FFFFFF"/>
        </w:rPr>
        <w:t>For emergency advice and paediatric or neonatal ICU transfers,</w:t>
      </w:r>
      <w:r w:rsidRPr="00E43F96">
        <w:rPr>
          <w:rFonts w:asciiTheme="majorHAnsi" w:hAnsiTheme="majorHAnsi" w:cstheme="majorHAnsi"/>
          <w:color w:val="FF0000"/>
          <w:shd w:val="clear" w:color="auto" w:fill="FFFFFF"/>
        </w:rPr>
        <w:t> </w:t>
      </w:r>
      <w:r w:rsidRPr="00E43F96">
        <w:rPr>
          <w:rFonts w:asciiTheme="majorHAnsi" w:hAnsiTheme="majorHAnsi" w:cstheme="majorHAnsi"/>
          <w:b/>
          <w:bCs/>
          <w:color w:val="FF0000"/>
          <w:shd w:val="clear" w:color="auto" w:fill="FFFFFF"/>
        </w:rPr>
        <w:t>see </w:t>
      </w:r>
      <w:hyperlink r:id="rId9" w:tooltip="Retrieval&#10;Services" w:history="1">
        <w:r w:rsidRPr="00E43F96">
          <w:rPr>
            <w:rStyle w:val="Hyperlink"/>
            <w:rFonts w:asciiTheme="majorHAnsi" w:hAnsiTheme="majorHAnsi" w:cstheme="majorHAnsi"/>
            <w:b/>
            <w:bCs/>
            <w:color w:val="737F57"/>
          </w:rPr>
          <w:t>Retrieval Services</w:t>
        </w:r>
      </w:hyperlink>
      <w:r w:rsidRPr="00E43F96">
        <w:rPr>
          <w:rFonts w:asciiTheme="majorHAnsi" w:hAnsiTheme="majorHAnsi" w:cstheme="majorHAnsi"/>
          <w:color w:val="FF0000"/>
          <w:shd w:val="clear" w:color="auto" w:fill="FFFFFF"/>
        </w:rPr>
        <w:t>.</w:t>
      </w:r>
    </w:p>
    <w:p w14:paraId="3618EC88" w14:textId="77777777" w:rsidR="00D11F35" w:rsidRPr="001564DC" w:rsidRDefault="00D11F35">
      <w:pPr>
        <w:rPr>
          <w:rFonts w:asciiTheme="majorHAnsi" w:hAnsiTheme="majorHAnsi" w:cstheme="majorHAnsi"/>
          <w:b/>
          <w:color w:val="000000"/>
        </w:rPr>
      </w:pPr>
    </w:p>
    <w:p w14:paraId="6DD66F2E" w14:textId="0EB31926" w:rsidR="004430E3" w:rsidRPr="001564DC" w:rsidRDefault="004430E3" w:rsidP="004430E3">
      <w:pPr>
        <w:rPr>
          <w:rFonts w:asciiTheme="majorHAnsi" w:hAnsiTheme="majorHAnsi" w:cstheme="majorHAnsi"/>
          <w:b/>
          <w:color w:val="C00000"/>
          <w:sz w:val="28"/>
          <w:szCs w:val="28"/>
        </w:rPr>
      </w:pPr>
      <w:r w:rsidRPr="001564DC">
        <w:rPr>
          <w:rFonts w:asciiTheme="majorHAnsi" w:hAnsiTheme="majorHAnsi" w:cstheme="majorHAnsi"/>
          <w:b/>
          <w:color w:val="C00000"/>
          <w:sz w:val="28"/>
          <w:szCs w:val="28"/>
        </w:rPr>
        <w:t>Consider discharge when</w:t>
      </w:r>
    </w:p>
    <w:p w14:paraId="5674275A" w14:textId="77777777" w:rsidR="00687480" w:rsidRPr="001564DC" w:rsidRDefault="004430E3" w:rsidP="004430E3">
      <w:pPr>
        <w:rPr>
          <w:rFonts w:asciiTheme="majorHAnsi" w:hAnsiTheme="majorHAnsi" w:cstheme="majorHAnsi"/>
          <w:color w:val="00B050"/>
        </w:rPr>
      </w:pPr>
      <w:r w:rsidRPr="001564DC">
        <w:rPr>
          <w:rFonts w:asciiTheme="majorHAnsi" w:hAnsiTheme="majorHAnsi" w:cstheme="majorHAnsi"/>
          <w:color w:val="00B050"/>
        </w:rPr>
        <w:t>Advice regarding criteria for discharge and follow up</w:t>
      </w:r>
    </w:p>
    <w:p w14:paraId="41169A69" w14:textId="77777777" w:rsidR="00A92E61" w:rsidRPr="001564DC" w:rsidRDefault="00A92E61">
      <w:pPr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>Normal GCS</w:t>
      </w:r>
    </w:p>
    <w:p w14:paraId="1B2E8B82" w14:textId="77777777" w:rsidR="00A92E61" w:rsidRPr="001564DC" w:rsidRDefault="00A92E61">
      <w:pPr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>Normal ECG</w:t>
      </w:r>
      <w:r w:rsidR="00297516" w:rsidRPr="001564DC">
        <w:rPr>
          <w:rFonts w:asciiTheme="majorHAnsi" w:hAnsiTheme="majorHAnsi" w:cstheme="majorHAnsi"/>
          <w:color w:val="000000"/>
        </w:rPr>
        <w:t xml:space="preserve"> </w:t>
      </w:r>
      <w:r w:rsidR="00297516" w:rsidRPr="001564DC">
        <w:rPr>
          <w:rFonts w:asciiTheme="majorHAnsi" w:hAnsiTheme="majorHAnsi" w:cstheme="majorHAnsi"/>
          <w:color w:val="00B050"/>
        </w:rPr>
        <w:t>(if required)</w:t>
      </w:r>
    </w:p>
    <w:p w14:paraId="63AABA23" w14:textId="77777777" w:rsidR="00A92E61" w:rsidRPr="001564DC" w:rsidRDefault="00A92E61">
      <w:pPr>
        <w:rPr>
          <w:rFonts w:asciiTheme="majorHAnsi" w:hAnsiTheme="majorHAnsi" w:cstheme="majorHAnsi"/>
          <w:color w:val="000000"/>
        </w:rPr>
      </w:pPr>
      <w:r w:rsidRPr="001564DC">
        <w:rPr>
          <w:rFonts w:asciiTheme="majorHAnsi" w:hAnsiTheme="majorHAnsi" w:cstheme="majorHAnsi"/>
          <w:color w:val="000000"/>
        </w:rPr>
        <w:t>Period of observation as above</w:t>
      </w:r>
    </w:p>
    <w:p w14:paraId="27B3CE99" w14:textId="77777777" w:rsidR="00111E6A" w:rsidRPr="001564DC" w:rsidRDefault="00111E6A" w:rsidP="00111E6A">
      <w:pPr>
        <w:shd w:val="clear" w:color="auto" w:fill="FFFFFF"/>
        <w:spacing w:before="270" w:after="135"/>
        <w:rPr>
          <w:rFonts w:asciiTheme="majorHAnsi" w:hAnsiTheme="majorHAnsi" w:cstheme="majorHAnsi"/>
          <w:b/>
          <w:bCs/>
          <w:color w:val="FF0000"/>
          <w:lang w:eastAsia="en-US"/>
        </w:rPr>
      </w:pPr>
      <w:r w:rsidRPr="001564DC">
        <w:rPr>
          <w:rFonts w:asciiTheme="majorHAnsi" w:hAnsiTheme="majorHAnsi" w:cstheme="majorHAnsi"/>
          <w:b/>
          <w:bCs/>
          <w:color w:val="FF0000"/>
        </w:rPr>
        <w:t>Assessing risk and connecting to community services</w:t>
      </w:r>
    </w:p>
    <w:p w14:paraId="38097D0E" w14:textId="77777777" w:rsidR="00255B2B" w:rsidRPr="00255B2B" w:rsidRDefault="00255B2B" w:rsidP="00255B2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000000"/>
          <w:sz w:val="24"/>
          <w:szCs w:val="24"/>
        </w:rPr>
      </w:pPr>
      <w:r w:rsidRPr="00255B2B">
        <w:rPr>
          <w:rFonts w:asciiTheme="majorHAnsi" w:hAnsiTheme="majorHAnsi" w:cstheme="majorHAnsi"/>
          <w:color w:val="000000"/>
          <w:sz w:val="24"/>
          <w:szCs w:val="24"/>
        </w:rPr>
        <w:t>Prior to discharge, adolescents who present with deliberate ingestions need a risk assessment regarding the likelihood of further ingestions or other attempts to self-harm</w:t>
      </w:r>
    </w:p>
    <w:p w14:paraId="5F0F41C6" w14:textId="77777777" w:rsidR="00255B2B" w:rsidRPr="00255B2B" w:rsidRDefault="00255B2B" w:rsidP="00255B2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000000"/>
          <w:sz w:val="24"/>
          <w:szCs w:val="24"/>
        </w:rPr>
      </w:pPr>
      <w:r w:rsidRPr="00255B2B">
        <w:rPr>
          <w:rFonts w:asciiTheme="majorHAnsi" w:hAnsiTheme="majorHAnsi" w:cstheme="majorHAnsi"/>
          <w:color w:val="000000"/>
          <w:sz w:val="24"/>
          <w:szCs w:val="24"/>
        </w:rPr>
        <w:t>Assessment of other drug and alcohol use should also be undertaken</w:t>
      </w:r>
    </w:p>
    <w:p w14:paraId="675B31E7" w14:textId="38D15172" w:rsidR="00255B2B" w:rsidRPr="00255B2B" w:rsidRDefault="00255B2B" w:rsidP="00255B2B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color w:val="000000"/>
          <w:sz w:val="24"/>
          <w:szCs w:val="24"/>
        </w:rPr>
      </w:pPr>
      <w:r w:rsidRPr="00255B2B">
        <w:rPr>
          <w:rFonts w:asciiTheme="majorHAnsi" w:hAnsiTheme="majorHAnsi" w:cstheme="majorHAnsi"/>
          <w:color w:val="000000"/>
          <w:sz w:val="24"/>
          <w:szCs w:val="24"/>
        </w:rPr>
        <w:t xml:space="preserve">If, after risk assessment, it is deemed safe to discharge a </w:t>
      </w:r>
      <w:r w:rsidR="000F3DE7">
        <w:rPr>
          <w:rFonts w:asciiTheme="majorHAnsi" w:hAnsiTheme="majorHAnsi" w:cstheme="majorHAnsi"/>
          <w:color w:val="000000"/>
          <w:sz w:val="24"/>
          <w:szCs w:val="24"/>
        </w:rPr>
        <w:t>child or adolescent</w:t>
      </w:r>
      <w:r w:rsidRPr="00255B2B">
        <w:rPr>
          <w:rFonts w:asciiTheme="majorHAnsi" w:hAnsiTheme="majorHAnsi" w:cstheme="majorHAnsi"/>
          <w:color w:val="000000"/>
          <w:sz w:val="24"/>
          <w:szCs w:val="24"/>
        </w:rPr>
        <w:t xml:space="preserve"> from hospital, but ongoing mental health or drug and alcohol needs are identified, th</w:t>
      </w:r>
      <w:r w:rsidR="000F3DE7">
        <w:rPr>
          <w:rFonts w:asciiTheme="majorHAnsi" w:hAnsiTheme="majorHAnsi" w:cstheme="majorHAnsi"/>
          <w:color w:val="000000"/>
          <w:sz w:val="24"/>
          <w:szCs w:val="24"/>
        </w:rPr>
        <w:t>ey</w:t>
      </w:r>
      <w:r w:rsidRPr="00255B2B">
        <w:rPr>
          <w:rFonts w:asciiTheme="majorHAnsi" w:hAnsiTheme="majorHAnsi" w:cstheme="majorHAnsi"/>
          <w:color w:val="000000"/>
          <w:sz w:val="24"/>
          <w:szCs w:val="24"/>
        </w:rPr>
        <w:t xml:space="preserve"> should be linked with appropriate services </w:t>
      </w:r>
    </w:p>
    <w:p w14:paraId="3096571E" w14:textId="77777777" w:rsidR="00111E6A" w:rsidRPr="001564DC" w:rsidRDefault="00111E6A" w:rsidP="00111E6A">
      <w:pPr>
        <w:rPr>
          <w:rFonts w:asciiTheme="majorHAnsi" w:hAnsiTheme="majorHAnsi" w:cstheme="majorHAnsi"/>
          <w:color w:val="000000"/>
        </w:rPr>
      </w:pPr>
    </w:p>
    <w:p w14:paraId="1298D877" w14:textId="77777777" w:rsidR="00111E6A" w:rsidRPr="001564DC" w:rsidRDefault="00111E6A" w:rsidP="00111E6A">
      <w:pPr>
        <w:rPr>
          <w:rFonts w:asciiTheme="majorHAnsi" w:hAnsiTheme="majorHAnsi" w:cstheme="majorHAnsi"/>
          <w:color w:val="000000"/>
        </w:rPr>
      </w:pPr>
    </w:p>
    <w:p w14:paraId="6DCF6C3E" w14:textId="12A047F0" w:rsidR="00AB4453" w:rsidRPr="00C871A3" w:rsidRDefault="00A43009" w:rsidP="007A4DB3">
      <w:pPr>
        <w:rPr>
          <w:rFonts w:asciiTheme="majorHAnsi" w:hAnsiTheme="majorHAnsi" w:cstheme="majorHAnsi"/>
          <w:b/>
          <w:color w:val="C00000"/>
          <w:sz w:val="28"/>
          <w:szCs w:val="28"/>
        </w:rPr>
      </w:pPr>
      <w:r w:rsidRPr="001564DC">
        <w:rPr>
          <w:rFonts w:asciiTheme="majorHAnsi" w:hAnsiTheme="majorHAnsi" w:cstheme="majorHAnsi"/>
          <w:b/>
          <w:bCs/>
          <w:color w:val="C00000"/>
          <w:sz w:val="28"/>
          <w:szCs w:val="28"/>
        </w:rPr>
        <w:t>Discharge information and follow-up:</w:t>
      </w:r>
    </w:p>
    <w:p w14:paraId="49787F15" w14:textId="77777777" w:rsidR="00AB4453" w:rsidRPr="00014C88" w:rsidRDefault="00AB4453" w:rsidP="00AB4453">
      <w:pPr>
        <w:rPr>
          <w:rFonts w:asciiTheme="majorHAnsi" w:hAnsiTheme="majorHAnsi" w:cstheme="majorHAnsi"/>
          <w:color w:val="0000FF" w:themeColor="hyperlink"/>
          <w:u w:val="single"/>
        </w:rPr>
      </w:pPr>
      <w:r w:rsidRPr="007A4DB3">
        <w:rPr>
          <w:rStyle w:val="Hyperlink"/>
          <w:rFonts w:asciiTheme="majorHAnsi" w:hAnsiTheme="majorHAnsi" w:cstheme="majorHAnsi"/>
          <w:color w:val="000000" w:themeColor="text1"/>
          <w:u w:val="none"/>
        </w:rPr>
        <w:lastRenderedPageBreak/>
        <w:t xml:space="preserve">Parent Information: </w:t>
      </w:r>
      <w:hyperlink r:id="rId10" w:history="1">
        <w:r w:rsidRPr="00014C88">
          <w:rPr>
            <w:rStyle w:val="Hyperlink"/>
            <w:rFonts w:asciiTheme="majorHAnsi" w:hAnsiTheme="majorHAnsi" w:cstheme="majorHAnsi"/>
          </w:rPr>
          <w:t xml:space="preserve">Poisoning prevention </w:t>
        </w:r>
        <w:r w:rsidRPr="00745A69">
          <w:rPr>
            <w:rStyle w:val="Hyperlink"/>
            <w:rFonts w:asciiTheme="majorHAnsi" w:hAnsiTheme="majorHAnsi" w:cstheme="majorHAnsi"/>
          </w:rPr>
          <w:t>for children</w:t>
        </w:r>
        <w:r w:rsidRPr="00014C88">
          <w:rPr>
            <w:rStyle w:val="Hyperlink"/>
            <w:rFonts w:asciiTheme="majorHAnsi" w:hAnsiTheme="majorHAnsi" w:cstheme="majorHAnsi"/>
          </w:rPr>
          <w:t xml:space="preserve"> </w:t>
        </w:r>
      </w:hyperlink>
    </w:p>
    <w:p w14:paraId="08277C12" w14:textId="77777777" w:rsidR="00AB4453" w:rsidRPr="001564DC" w:rsidRDefault="00AB4453" w:rsidP="00A43009">
      <w:pPr>
        <w:rPr>
          <w:rFonts w:asciiTheme="majorHAnsi" w:hAnsiTheme="majorHAnsi" w:cstheme="majorHAnsi"/>
          <w:color w:val="000000"/>
        </w:rPr>
      </w:pPr>
    </w:p>
    <w:p w14:paraId="41DA9C7C" w14:textId="77777777" w:rsidR="00A43009" w:rsidRPr="004F0D96" w:rsidRDefault="00A43009" w:rsidP="00A43009">
      <w:pPr>
        <w:pStyle w:val="NormalWeb"/>
        <w:shd w:val="clear" w:color="auto" w:fill="FFFFFF"/>
        <w:rPr>
          <w:rFonts w:asciiTheme="majorHAnsi" w:hAnsiTheme="majorHAnsi" w:cstheme="majorHAnsi"/>
          <w:lang w:val="fr-FR"/>
        </w:rPr>
      </w:pPr>
      <w:r w:rsidRPr="004F0D96">
        <w:rPr>
          <w:rFonts w:asciiTheme="majorHAnsi" w:hAnsiTheme="majorHAnsi" w:cstheme="majorHAnsi"/>
          <w:b/>
          <w:bCs/>
          <w:color w:val="FF0000"/>
          <w:lang w:val="fr-FR"/>
        </w:rPr>
        <w:t>Poisons Information Centre</w:t>
      </w:r>
      <w:r w:rsidRPr="004F0D96">
        <w:rPr>
          <w:rFonts w:asciiTheme="majorHAnsi" w:hAnsiTheme="majorHAnsi" w:cstheme="majorHAnsi"/>
          <w:lang w:val="fr-FR"/>
        </w:rPr>
        <w:t>: phone 13 11 26</w:t>
      </w:r>
    </w:p>
    <w:p w14:paraId="7AB21CAE" w14:textId="77777777" w:rsidR="00A43009" w:rsidRPr="004F0D96" w:rsidRDefault="00A43009" w:rsidP="00A43009">
      <w:pPr>
        <w:pStyle w:val="NormalWeb"/>
        <w:shd w:val="clear" w:color="auto" w:fill="FFFFFF"/>
        <w:rPr>
          <w:rFonts w:asciiTheme="majorHAnsi" w:hAnsiTheme="majorHAnsi" w:cstheme="majorHAnsi"/>
          <w:lang w:val="fr-FR"/>
        </w:rPr>
      </w:pPr>
    </w:p>
    <w:p w14:paraId="1E034509" w14:textId="77777777" w:rsidR="00A43009" w:rsidRPr="004F0D96" w:rsidRDefault="00A43009" w:rsidP="00A43009">
      <w:pPr>
        <w:pStyle w:val="NormalWeb"/>
        <w:shd w:val="clear" w:color="auto" w:fill="FFFFFF"/>
        <w:rPr>
          <w:rFonts w:asciiTheme="majorHAnsi" w:hAnsiTheme="majorHAnsi" w:cstheme="majorHAnsi"/>
          <w:lang w:val="fr-FR"/>
        </w:rPr>
      </w:pPr>
      <w:r w:rsidRPr="004F0D96">
        <w:rPr>
          <w:rFonts w:asciiTheme="majorHAnsi" w:hAnsiTheme="majorHAnsi" w:cstheme="majorHAnsi"/>
          <w:lang w:val="fr-FR"/>
        </w:rPr>
        <w:t>Websites:</w:t>
      </w:r>
    </w:p>
    <w:p w14:paraId="7E7C2DA0" w14:textId="77777777" w:rsidR="00A43009" w:rsidRPr="001564DC" w:rsidRDefault="00A43009" w:rsidP="00A43009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1564DC">
        <w:rPr>
          <w:rFonts w:asciiTheme="majorHAnsi" w:hAnsiTheme="majorHAnsi" w:cstheme="majorHAnsi"/>
          <w:sz w:val="24"/>
          <w:szCs w:val="24"/>
        </w:rPr>
        <w:t xml:space="preserve">New South Wales: </w:t>
      </w:r>
      <w:hyperlink r:id="rId11" w:history="1">
        <w:r w:rsidRPr="001564DC">
          <w:rPr>
            <w:rStyle w:val="Hyperlink"/>
            <w:rFonts w:asciiTheme="majorHAnsi" w:hAnsiTheme="majorHAnsi" w:cstheme="majorHAnsi"/>
            <w:sz w:val="24"/>
            <w:szCs w:val="24"/>
          </w:rPr>
          <w:t>https://www.poisonsinfo.nsw.gov.au/</w:t>
        </w:r>
      </w:hyperlink>
    </w:p>
    <w:p w14:paraId="7CEF5EA3" w14:textId="77777777" w:rsidR="00A43009" w:rsidRPr="00255B2B" w:rsidRDefault="00A43009" w:rsidP="00A43009">
      <w:pPr>
        <w:pStyle w:val="ListParagraph"/>
        <w:numPr>
          <w:ilvl w:val="0"/>
          <w:numId w:val="4"/>
        </w:numPr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</w:pPr>
      <w:r w:rsidRPr="001564DC">
        <w:rPr>
          <w:rFonts w:asciiTheme="majorHAnsi" w:hAnsiTheme="majorHAnsi" w:cstheme="majorHAnsi"/>
          <w:sz w:val="24"/>
          <w:szCs w:val="24"/>
        </w:rPr>
        <w:t>Queensland:</w:t>
      </w:r>
      <w:hyperlink r:id="rId12" w:history="1">
        <w:r w:rsidRPr="001564DC">
          <w:rPr>
            <w:rStyle w:val="Hyperlink"/>
            <w:rFonts w:asciiTheme="majorHAnsi" w:hAnsiTheme="majorHAnsi" w:cstheme="majorHAnsi"/>
            <w:sz w:val="24"/>
            <w:szCs w:val="24"/>
          </w:rPr>
          <w:t>https://www.childrens.health.qld.gov.au/chq/our-services/queensland-poisons-information-centre/</w:t>
        </w:r>
      </w:hyperlink>
    </w:p>
    <w:p w14:paraId="060E9BD0" w14:textId="77777777" w:rsidR="00255B2B" w:rsidRPr="004F0D96" w:rsidRDefault="00255B2B" w:rsidP="00255B2B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  <w:lang w:val="es-ES"/>
        </w:rPr>
      </w:pPr>
      <w:r w:rsidRPr="004F0D96">
        <w:rPr>
          <w:rFonts w:asciiTheme="majorHAnsi" w:hAnsiTheme="majorHAnsi" w:cstheme="majorHAnsi"/>
          <w:sz w:val="24"/>
          <w:szCs w:val="24"/>
          <w:lang w:val="es-ES"/>
        </w:rPr>
        <w:t xml:space="preserve">Victoria: </w:t>
      </w:r>
      <w:hyperlink r:id="rId13" w:history="1">
        <w:r w:rsidRPr="004F0D96">
          <w:rPr>
            <w:rStyle w:val="Hyperlink"/>
            <w:rFonts w:asciiTheme="majorHAnsi" w:hAnsiTheme="majorHAnsi" w:cstheme="majorHAnsi"/>
            <w:sz w:val="24"/>
            <w:szCs w:val="24"/>
            <w:lang w:val="es-ES"/>
          </w:rPr>
          <w:t>http://www.austin.org.au/poisons</w:t>
        </w:r>
      </w:hyperlink>
    </w:p>
    <w:p w14:paraId="797C3321" w14:textId="77777777" w:rsidR="00A43009" w:rsidRPr="004F0D96" w:rsidRDefault="00A43009" w:rsidP="00A43009">
      <w:pPr>
        <w:pStyle w:val="NormalWeb"/>
        <w:shd w:val="clear" w:color="auto" w:fill="FFFFFF"/>
        <w:rPr>
          <w:rFonts w:asciiTheme="majorHAnsi" w:hAnsiTheme="majorHAnsi" w:cstheme="majorHAnsi"/>
          <w:color w:val="3D5567"/>
          <w:lang w:val="es-ES"/>
        </w:rPr>
      </w:pPr>
    </w:p>
    <w:p w14:paraId="2CC27E83" w14:textId="77777777" w:rsidR="00A43009" w:rsidRPr="004F0D96" w:rsidRDefault="00A43009" w:rsidP="00A43009">
      <w:pPr>
        <w:rPr>
          <w:rFonts w:asciiTheme="majorHAnsi" w:hAnsiTheme="majorHAnsi" w:cstheme="majorHAnsi"/>
          <w:color w:val="000000"/>
          <w:lang w:val="es-ES"/>
        </w:rPr>
      </w:pPr>
    </w:p>
    <w:p w14:paraId="3C7C3571" w14:textId="77777777" w:rsidR="00A43009" w:rsidRPr="00255B2B" w:rsidRDefault="00A43009" w:rsidP="00255B2B">
      <w:pPr>
        <w:rPr>
          <w:rFonts w:asciiTheme="majorHAnsi" w:hAnsiTheme="majorHAnsi" w:cstheme="majorHAnsi"/>
          <w:b/>
          <w:color w:val="FF0000"/>
        </w:rPr>
      </w:pPr>
      <w:r w:rsidRPr="001564DC">
        <w:rPr>
          <w:rFonts w:asciiTheme="majorHAnsi" w:hAnsiTheme="majorHAnsi" w:cstheme="majorHAnsi"/>
          <w:b/>
          <w:color w:val="FF0000"/>
        </w:rPr>
        <w:t>Mental Health, Drug and Alcohol Services</w:t>
      </w:r>
      <w:r w:rsidRPr="001564DC">
        <w:rPr>
          <w:rFonts w:asciiTheme="majorHAnsi" w:hAnsiTheme="majorHAnsi" w:cstheme="majorHAnsi"/>
          <w:b/>
          <w:bCs/>
          <w:color w:val="000000" w:themeColor="text1"/>
        </w:rPr>
        <w:br/>
        <w:t>New South Wales</w:t>
      </w:r>
    </w:p>
    <w:p w14:paraId="041AFF54" w14:textId="77777777" w:rsidR="00A43009" w:rsidRPr="001564DC" w:rsidRDefault="000C3E3B" w:rsidP="00A43009">
      <w:pPr>
        <w:pStyle w:val="NormalWeb"/>
        <w:shd w:val="clear" w:color="auto" w:fill="FFFFFF"/>
        <w:spacing w:after="135"/>
        <w:rPr>
          <w:rFonts w:asciiTheme="majorHAnsi" w:hAnsiTheme="majorHAnsi" w:cstheme="majorHAnsi"/>
          <w:color w:val="000000" w:themeColor="text1"/>
        </w:rPr>
      </w:pPr>
      <w:hyperlink r:id="rId14" w:history="1">
        <w:r w:rsidR="00A43009" w:rsidRPr="001564DC">
          <w:rPr>
            <w:rStyle w:val="Hyperlink"/>
            <w:rFonts w:asciiTheme="majorHAnsi" w:hAnsiTheme="majorHAnsi" w:cstheme="majorHAnsi"/>
            <w:color w:val="000000" w:themeColor="text1"/>
          </w:rPr>
          <w:t>Child and Adolescent Mental Health Services:</w:t>
        </w:r>
      </w:hyperlink>
      <w:r w:rsidR="00A43009" w:rsidRPr="001564DC">
        <w:rPr>
          <w:rFonts w:asciiTheme="majorHAnsi" w:hAnsiTheme="majorHAnsi" w:cstheme="majorHAnsi"/>
          <w:color w:val="000000" w:themeColor="text1"/>
        </w:rPr>
        <w:t> services delivered across NSW Health with referrals made via the NSW Mental Health Line (1800 011 511) for 24-hour advice, assessment referral information</w:t>
      </w:r>
    </w:p>
    <w:p w14:paraId="1AC1F3BD" w14:textId="77777777" w:rsidR="00A43009" w:rsidRPr="001564DC" w:rsidRDefault="000C3E3B" w:rsidP="00A43009">
      <w:pPr>
        <w:pStyle w:val="NormalWeb"/>
        <w:shd w:val="clear" w:color="auto" w:fill="FFFFFF"/>
        <w:spacing w:after="135"/>
        <w:rPr>
          <w:rFonts w:asciiTheme="majorHAnsi" w:hAnsiTheme="majorHAnsi" w:cstheme="majorHAnsi"/>
          <w:color w:val="000000" w:themeColor="text1"/>
        </w:rPr>
      </w:pPr>
      <w:hyperlink r:id="rId15" w:history="1">
        <w:r w:rsidR="00A43009" w:rsidRPr="001564DC">
          <w:rPr>
            <w:rStyle w:val="Hyperlink"/>
            <w:rFonts w:asciiTheme="majorHAnsi" w:hAnsiTheme="majorHAnsi" w:cstheme="majorHAnsi"/>
            <w:color w:val="000000" w:themeColor="text1"/>
          </w:rPr>
          <w:t>Youth Health and Wellbeing:</w:t>
        </w:r>
      </w:hyperlink>
      <w:r w:rsidR="00A43009" w:rsidRPr="001564DC">
        <w:rPr>
          <w:rFonts w:asciiTheme="majorHAnsi" w:hAnsiTheme="majorHAnsi" w:cstheme="majorHAnsi"/>
          <w:color w:val="000000" w:themeColor="text1"/>
        </w:rPr>
        <w:t> includes links to Assessment Guideline for providers caring for young people aged 12 – 24 years across settings, as well as links to other resources </w:t>
      </w:r>
    </w:p>
    <w:p w14:paraId="1DB0524F" w14:textId="77777777" w:rsidR="00A43009" w:rsidRPr="001564DC" w:rsidRDefault="000C3E3B" w:rsidP="00A43009">
      <w:pPr>
        <w:pStyle w:val="NormalWeb"/>
        <w:shd w:val="clear" w:color="auto" w:fill="FFFFFF"/>
        <w:spacing w:after="135"/>
        <w:rPr>
          <w:rFonts w:asciiTheme="majorHAnsi" w:hAnsiTheme="majorHAnsi" w:cstheme="majorHAnsi"/>
          <w:color w:val="000000" w:themeColor="text1"/>
        </w:rPr>
      </w:pPr>
      <w:hyperlink r:id="rId16" w:history="1">
        <w:r w:rsidR="00A43009" w:rsidRPr="001564DC">
          <w:rPr>
            <w:rStyle w:val="Hyperlink"/>
            <w:rFonts w:asciiTheme="majorHAnsi" w:hAnsiTheme="majorHAnsi" w:cstheme="majorHAnsi"/>
            <w:color w:val="000000" w:themeColor="text1"/>
          </w:rPr>
          <w:t>Your room:</w:t>
        </w:r>
      </w:hyperlink>
      <w:r w:rsidR="00A43009" w:rsidRPr="001564DC">
        <w:rPr>
          <w:rFonts w:asciiTheme="majorHAnsi" w:hAnsiTheme="majorHAnsi" w:cstheme="majorHAnsi"/>
          <w:color w:val="000000" w:themeColor="text1"/>
        </w:rPr>
        <w:t> information on alcohol and other drug use, including fact sheets (multiple languages), assessment tools and links to support services</w:t>
      </w:r>
    </w:p>
    <w:p w14:paraId="10526077" w14:textId="77777777" w:rsidR="00A43009" w:rsidRPr="001564DC" w:rsidRDefault="00A43009" w:rsidP="00A43009">
      <w:pPr>
        <w:pStyle w:val="NormalWeb"/>
        <w:shd w:val="clear" w:color="auto" w:fill="FFFFFF"/>
        <w:spacing w:after="135"/>
        <w:rPr>
          <w:rFonts w:asciiTheme="majorHAnsi" w:hAnsiTheme="majorHAnsi" w:cstheme="majorHAnsi"/>
          <w:color w:val="000000" w:themeColor="text1"/>
        </w:rPr>
      </w:pPr>
      <w:r w:rsidRPr="001564DC">
        <w:rPr>
          <w:rFonts w:asciiTheme="majorHAnsi" w:hAnsiTheme="majorHAnsi" w:cstheme="majorHAnsi"/>
          <w:b/>
          <w:bCs/>
          <w:color w:val="000000" w:themeColor="text1"/>
        </w:rPr>
        <w:br/>
        <w:t>Queensland</w:t>
      </w:r>
    </w:p>
    <w:p w14:paraId="434B7ECF" w14:textId="77777777" w:rsidR="00A43009" w:rsidRPr="001564DC" w:rsidRDefault="000C3E3B" w:rsidP="00A43009">
      <w:pPr>
        <w:pStyle w:val="NormalWeb"/>
        <w:shd w:val="clear" w:color="auto" w:fill="FFFFFF"/>
        <w:spacing w:after="135"/>
        <w:rPr>
          <w:rFonts w:asciiTheme="majorHAnsi" w:hAnsiTheme="majorHAnsi" w:cstheme="majorHAnsi"/>
          <w:color w:val="000000" w:themeColor="text1"/>
        </w:rPr>
      </w:pPr>
      <w:hyperlink r:id="rId17" w:history="1">
        <w:r w:rsidR="00A43009" w:rsidRPr="001564DC">
          <w:rPr>
            <w:rStyle w:val="Hyperlink"/>
            <w:rFonts w:asciiTheme="majorHAnsi" w:hAnsiTheme="majorHAnsi" w:cstheme="majorHAnsi"/>
            <w:color w:val="000000" w:themeColor="text1"/>
          </w:rPr>
          <w:t>Child and Youth Mental Health Services</w:t>
        </w:r>
      </w:hyperlink>
      <w:r w:rsidR="00A43009" w:rsidRPr="001564DC">
        <w:rPr>
          <w:rFonts w:asciiTheme="majorHAnsi" w:hAnsiTheme="majorHAnsi" w:cstheme="majorHAnsi"/>
          <w:color w:val="000000" w:themeColor="text1"/>
        </w:rPr>
        <w:t>: specialise in helping infants, children and young people up to age 18 years with complex mental health needs</w:t>
      </w:r>
    </w:p>
    <w:p w14:paraId="424CB346" w14:textId="77777777" w:rsidR="00A43009" w:rsidRPr="001564DC" w:rsidRDefault="000C3E3B" w:rsidP="00A43009">
      <w:pPr>
        <w:pStyle w:val="NormalWeb"/>
        <w:shd w:val="clear" w:color="auto" w:fill="FFFFFF"/>
        <w:spacing w:after="135"/>
        <w:rPr>
          <w:rFonts w:asciiTheme="majorHAnsi" w:hAnsiTheme="majorHAnsi" w:cstheme="majorHAnsi"/>
          <w:color w:val="000000" w:themeColor="text1"/>
        </w:rPr>
      </w:pPr>
      <w:hyperlink r:id="rId18" w:history="1">
        <w:r w:rsidR="00A43009" w:rsidRPr="001564DC">
          <w:rPr>
            <w:rStyle w:val="Hyperlink"/>
            <w:rFonts w:asciiTheme="majorHAnsi" w:hAnsiTheme="majorHAnsi" w:cstheme="majorHAnsi"/>
            <w:color w:val="000000" w:themeColor="text1"/>
          </w:rPr>
          <w:t>Dovetail</w:t>
        </w:r>
      </w:hyperlink>
      <w:r w:rsidR="00A43009" w:rsidRPr="001564DC">
        <w:rPr>
          <w:rFonts w:asciiTheme="majorHAnsi" w:hAnsiTheme="majorHAnsi" w:cstheme="majorHAnsi"/>
          <w:color w:val="000000" w:themeColor="text1"/>
        </w:rPr>
        <w:t>: provides clinical advice and professional support to workers, services and communities who engage with young people affected by alcohol and other drug use</w:t>
      </w:r>
    </w:p>
    <w:p w14:paraId="138669BC" w14:textId="77777777" w:rsidR="00A43009" w:rsidRPr="001564DC" w:rsidRDefault="000C3E3B" w:rsidP="00A43009">
      <w:pPr>
        <w:pStyle w:val="NormalWeb"/>
        <w:shd w:val="clear" w:color="auto" w:fill="FFFFFF"/>
        <w:spacing w:after="135"/>
        <w:rPr>
          <w:rFonts w:asciiTheme="majorHAnsi" w:hAnsiTheme="majorHAnsi" w:cstheme="majorHAnsi"/>
          <w:color w:val="000000" w:themeColor="text1"/>
        </w:rPr>
      </w:pPr>
      <w:hyperlink r:id="rId19" w:history="1">
        <w:r w:rsidR="00A43009" w:rsidRPr="001564DC">
          <w:rPr>
            <w:rStyle w:val="Hyperlink"/>
            <w:rFonts w:asciiTheme="majorHAnsi" w:hAnsiTheme="majorHAnsi" w:cstheme="majorHAnsi"/>
            <w:color w:val="000000" w:themeColor="text1"/>
          </w:rPr>
          <w:t>Queensland Youth AOD Services Guide</w:t>
        </w:r>
      </w:hyperlink>
      <w:r w:rsidR="00A43009" w:rsidRPr="001564DC">
        <w:rPr>
          <w:rFonts w:asciiTheme="majorHAnsi" w:hAnsiTheme="majorHAnsi" w:cstheme="majorHAnsi"/>
          <w:color w:val="000000" w:themeColor="text1"/>
        </w:rPr>
        <w:t>: created by Dovetail, this guide provides an overview of youth alcohol and other drug treatment services across Queensland. For help outside of hours, call the 24-hour Alcohol and Drug Information Service (ADIS) on 1800 177 833</w:t>
      </w:r>
    </w:p>
    <w:p w14:paraId="26931AF4" w14:textId="77777777" w:rsidR="00A43009" w:rsidRDefault="000C3E3B" w:rsidP="00A43009">
      <w:pPr>
        <w:pStyle w:val="NormalWeb"/>
        <w:shd w:val="clear" w:color="auto" w:fill="FFFFFF"/>
        <w:spacing w:after="135"/>
        <w:rPr>
          <w:rFonts w:asciiTheme="majorHAnsi" w:hAnsiTheme="majorHAnsi" w:cstheme="majorHAnsi"/>
          <w:color w:val="000000" w:themeColor="text1"/>
        </w:rPr>
      </w:pPr>
      <w:hyperlink r:id="rId20" w:history="1">
        <w:r w:rsidR="00A43009" w:rsidRPr="001564DC">
          <w:rPr>
            <w:rStyle w:val="Hyperlink"/>
            <w:rFonts w:asciiTheme="majorHAnsi" w:hAnsiTheme="majorHAnsi" w:cstheme="majorHAnsi"/>
            <w:color w:val="000000" w:themeColor="text1"/>
          </w:rPr>
          <w:t>Clarence St, Mater Young Adult Health Service</w:t>
        </w:r>
      </w:hyperlink>
      <w:r w:rsidR="00A43009" w:rsidRPr="001564DC">
        <w:rPr>
          <w:rFonts w:asciiTheme="majorHAnsi" w:hAnsiTheme="majorHAnsi" w:cstheme="majorHAnsi"/>
          <w:color w:val="000000" w:themeColor="text1"/>
        </w:rPr>
        <w:t>: Youth drug and alcohol service</w:t>
      </w:r>
    </w:p>
    <w:p w14:paraId="747DCB51" w14:textId="77777777" w:rsidR="00255B2B" w:rsidRDefault="00255B2B" w:rsidP="00A43009">
      <w:pPr>
        <w:pStyle w:val="NormalWeb"/>
        <w:shd w:val="clear" w:color="auto" w:fill="FFFFFF"/>
        <w:spacing w:after="135"/>
        <w:rPr>
          <w:rFonts w:asciiTheme="majorHAnsi" w:hAnsiTheme="majorHAnsi" w:cstheme="majorHAnsi"/>
          <w:color w:val="000000" w:themeColor="text1"/>
        </w:rPr>
      </w:pPr>
    </w:p>
    <w:p w14:paraId="18EDE9F9" w14:textId="77777777" w:rsidR="00255B2B" w:rsidRPr="001564DC" w:rsidRDefault="00255B2B" w:rsidP="00255B2B">
      <w:pPr>
        <w:pStyle w:val="NormalWeb"/>
        <w:shd w:val="clear" w:color="auto" w:fill="FFFFFF"/>
        <w:spacing w:after="135"/>
        <w:rPr>
          <w:rFonts w:asciiTheme="majorHAnsi" w:hAnsiTheme="majorHAnsi" w:cstheme="majorHAnsi"/>
          <w:color w:val="000000" w:themeColor="text1"/>
        </w:rPr>
      </w:pPr>
      <w:r w:rsidRPr="001564DC">
        <w:rPr>
          <w:rFonts w:asciiTheme="majorHAnsi" w:hAnsiTheme="majorHAnsi" w:cstheme="majorHAnsi"/>
          <w:b/>
          <w:bCs/>
          <w:color w:val="000000" w:themeColor="text1"/>
        </w:rPr>
        <w:t>Victoria</w:t>
      </w:r>
    </w:p>
    <w:p w14:paraId="7A35BF8F" w14:textId="77777777" w:rsidR="00255B2B" w:rsidRPr="001564DC" w:rsidRDefault="000C3E3B" w:rsidP="00255B2B">
      <w:pPr>
        <w:pStyle w:val="NormalWeb"/>
        <w:shd w:val="clear" w:color="auto" w:fill="FFFFFF"/>
        <w:spacing w:after="135"/>
        <w:rPr>
          <w:rFonts w:asciiTheme="majorHAnsi" w:hAnsiTheme="majorHAnsi" w:cstheme="majorHAnsi"/>
          <w:color w:val="000000" w:themeColor="text1"/>
        </w:rPr>
      </w:pPr>
      <w:hyperlink r:id="rId21" w:history="1">
        <w:r w:rsidR="00255B2B" w:rsidRPr="001564DC">
          <w:rPr>
            <w:rStyle w:val="Hyperlink"/>
            <w:rFonts w:asciiTheme="majorHAnsi" w:hAnsiTheme="majorHAnsi" w:cstheme="majorHAnsi"/>
            <w:color w:val="000000" w:themeColor="text1"/>
          </w:rPr>
          <w:t>Child &amp; Adolescent Mental Health Services (CAMHS)</w:t>
        </w:r>
      </w:hyperlink>
      <w:r w:rsidR="00255B2B" w:rsidRPr="001564DC">
        <w:rPr>
          <w:rFonts w:asciiTheme="majorHAnsi" w:hAnsiTheme="majorHAnsi" w:cstheme="majorHAnsi"/>
          <w:color w:val="000000" w:themeColor="text1"/>
        </w:rPr>
        <w:t>: Victorian government mental health services are region-based</w:t>
      </w:r>
    </w:p>
    <w:p w14:paraId="7B02C370" w14:textId="77777777" w:rsidR="00255B2B" w:rsidRPr="001564DC" w:rsidRDefault="000C3E3B" w:rsidP="00255B2B">
      <w:pPr>
        <w:pStyle w:val="NormalWeb"/>
        <w:shd w:val="clear" w:color="auto" w:fill="FFFFFF"/>
        <w:spacing w:after="135"/>
        <w:rPr>
          <w:rFonts w:asciiTheme="majorHAnsi" w:hAnsiTheme="majorHAnsi" w:cstheme="majorHAnsi"/>
          <w:color w:val="000000" w:themeColor="text1"/>
        </w:rPr>
      </w:pPr>
      <w:hyperlink r:id="rId22" w:history="1">
        <w:r w:rsidR="00255B2B" w:rsidRPr="001564DC">
          <w:rPr>
            <w:rStyle w:val="Hyperlink"/>
            <w:rFonts w:asciiTheme="majorHAnsi" w:hAnsiTheme="majorHAnsi" w:cstheme="majorHAnsi"/>
            <w:color w:val="000000" w:themeColor="text1"/>
          </w:rPr>
          <w:t>YSAS (Youth Support and Advocacy Service):</w:t>
        </w:r>
      </w:hyperlink>
      <w:r w:rsidR="00255B2B" w:rsidRPr="001564DC">
        <w:rPr>
          <w:rFonts w:asciiTheme="majorHAnsi" w:hAnsiTheme="majorHAnsi" w:cstheme="majorHAnsi"/>
          <w:color w:val="000000" w:themeColor="text1"/>
        </w:rPr>
        <w:t> Outreach teams across Melbourne and regional Victoria for young people experiencing significant problems with alcohol and/or drug use</w:t>
      </w:r>
    </w:p>
    <w:p w14:paraId="34108E82" w14:textId="77777777" w:rsidR="00255B2B" w:rsidRPr="001564DC" w:rsidRDefault="000C3E3B" w:rsidP="00255B2B">
      <w:pPr>
        <w:pStyle w:val="NormalWeb"/>
        <w:shd w:val="clear" w:color="auto" w:fill="FFFFFF"/>
        <w:spacing w:after="135"/>
        <w:rPr>
          <w:rFonts w:asciiTheme="majorHAnsi" w:hAnsiTheme="majorHAnsi" w:cstheme="majorHAnsi"/>
          <w:color w:val="000000" w:themeColor="text1"/>
        </w:rPr>
      </w:pPr>
      <w:hyperlink r:id="rId23" w:history="1">
        <w:r w:rsidR="00255B2B" w:rsidRPr="001564DC">
          <w:rPr>
            <w:rStyle w:val="Hyperlink"/>
            <w:rFonts w:asciiTheme="majorHAnsi" w:hAnsiTheme="majorHAnsi" w:cstheme="majorHAnsi"/>
            <w:color w:val="000000" w:themeColor="text1"/>
          </w:rPr>
          <w:t>YoDAA</w:t>
        </w:r>
      </w:hyperlink>
      <w:r w:rsidR="00255B2B" w:rsidRPr="001564DC">
        <w:rPr>
          <w:rFonts w:asciiTheme="majorHAnsi" w:hAnsiTheme="majorHAnsi" w:cstheme="majorHAnsi"/>
          <w:color w:val="000000" w:themeColor="text1"/>
        </w:rPr>
        <w:t>: Victoria’s Youth Drug and Alcohol Advice service - provides information and support for youth AOD needs or anyone concerned about a young person</w:t>
      </w:r>
    </w:p>
    <w:p w14:paraId="7A37DD93" w14:textId="77777777" w:rsidR="00255B2B" w:rsidRPr="001564DC" w:rsidRDefault="000C3E3B" w:rsidP="00255B2B">
      <w:pPr>
        <w:pStyle w:val="NormalWeb"/>
        <w:shd w:val="clear" w:color="auto" w:fill="FFFFFF"/>
        <w:spacing w:after="135"/>
        <w:rPr>
          <w:rFonts w:asciiTheme="majorHAnsi" w:hAnsiTheme="majorHAnsi" w:cstheme="majorHAnsi"/>
          <w:color w:val="000000" w:themeColor="text1"/>
        </w:rPr>
      </w:pPr>
      <w:hyperlink r:id="rId24" w:history="1">
        <w:r w:rsidR="00255B2B" w:rsidRPr="001564DC">
          <w:rPr>
            <w:rStyle w:val="Hyperlink"/>
            <w:rFonts w:asciiTheme="majorHAnsi" w:hAnsiTheme="majorHAnsi" w:cstheme="majorHAnsi"/>
            <w:color w:val="000000" w:themeColor="text1"/>
          </w:rPr>
          <w:t>Infoxchange Service Seeker</w:t>
        </w:r>
      </w:hyperlink>
      <w:r w:rsidR="00255B2B" w:rsidRPr="001564DC">
        <w:rPr>
          <w:rFonts w:asciiTheme="majorHAnsi" w:hAnsiTheme="majorHAnsi" w:cstheme="majorHAnsi"/>
          <w:color w:val="000000" w:themeColor="text1"/>
        </w:rPr>
        <w:t>: Search for local community support services e.g. local doctor, dentist, counselling services, drug and alcohol services</w:t>
      </w:r>
    </w:p>
    <w:p w14:paraId="4C3C5420" w14:textId="77777777" w:rsidR="00255B2B" w:rsidRPr="001564DC" w:rsidRDefault="00255B2B" w:rsidP="00A43009">
      <w:pPr>
        <w:pStyle w:val="NormalWeb"/>
        <w:shd w:val="clear" w:color="auto" w:fill="FFFFFF"/>
        <w:spacing w:after="135"/>
        <w:rPr>
          <w:rFonts w:asciiTheme="majorHAnsi" w:hAnsiTheme="majorHAnsi" w:cstheme="majorHAnsi"/>
          <w:color w:val="000000" w:themeColor="text1"/>
        </w:rPr>
      </w:pPr>
    </w:p>
    <w:p w14:paraId="4174360D" w14:textId="77777777" w:rsidR="00A43009" w:rsidRPr="001564DC" w:rsidRDefault="00A43009" w:rsidP="00A43009">
      <w:pPr>
        <w:ind w:right="-199"/>
        <w:rPr>
          <w:rFonts w:asciiTheme="majorHAnsi" w:hAnsiTheme="majorHAnsi" w:cstheme="majorHAnsi"/>
        </w:rPr>
      </w:pPr>
    </w:p>
    <w:p w14:paraId="224A762D" w14:textId="77777777" w:rsidR="004430E3" w:rsidRPr="001564DC" w:rsidRDefault="004430E3" w:rsidP="004430E3">
      <w:pPr>
        <w:rPr>
          <w:rFonts w:asciiTheme="majorHAnsi" w:hAnsiTheme="majorHAnsi" w:cstheme="majorHAnsi"/>
          <w:b/>
          <w:color w:val="C00000"/>
          <w:sz w:val="28"/>
          <w:szCs w:val="28"/>
        </w:rPr>
      </w:pPr>
    </w:p>
    <w:p w14:paraId="1DA473F1" w14:textId="77777777" w:rsidR="004430E3" w:rsidRPr="001564DC" w:rsidRDefault="004430E3" w:rsidP="004430E3">
      <w:pPr>
        <w:rPr>
          <w:rFonts w:asciiTheme="majorHAnsi" w:hAnsiTheme="majorHAnsi" w:cstheme="majorHAnsi"/>
          <w:b/>
          <w:color w:val="C00000"/>
          <w:sz w:val="28"/>
          <w:szCs w:val="28"/>
        </w:rPr>
      </w:pPr>
      <w:r w:rsidRPr="001564DC">
        <w:rPr>
          <w:rFonts w:asciiTheme="majorHAnsi" w:hAnsiTheme="majorHAnsi" w:cstheme="majorHAnsi"/>
          <w:b/>
          <w:color w:val="C00000"/>
          <w:sz w:val="28"/>
          <w:szCs w:val="28"/>
        </w:rPr>
        <w:t>Additional notes</w:t>
      </w:r>
    </w:p>
    <w:p w14:paraId="4900A4FD" w14:textId="77777777" w:rsidR="004430E3" w:rsidRPr="001564DC" w:rsidRDefault="004430E3" w:rsidP="004430E3">
      <w:pPr>
        <w:rPr>
          <w:rFonts w:asciiTheme="majorHAnsi" w:hAnsiTheme="majorHAnsi" w:cstheme="majorHAnsi"/>
        </w:rPr>
      </w:pPr>
      <w:r w:rsidRPr="001564DC">
        <w:rPr>
          <w:rFonts w:asciiTheme="majorHAnsi" w:hAnsiTheme="majorHAnsi" w:cstheme="majorHAnsi"/>
        </w:rPr>
        <w:t>Additional helpful information</w:t>
      </w:r>
    </w:p>
    <w:p w14:paraId="38C65FD8" w14:textId="77777777" w:rsidR="004430E3" w:rsidRPr="001564DC" w:rsidRDefault="004430E3" w:rsidP="00111E6A">
      <w:pPr>
        <w:rPr>
          <w:rFonts w:asciiTheme="majorHAnsi" w:hAnsiTheme="majorHAnsi" w:cstheme="majorHAnsi"/>
          <w:b/>
          <w:color w:val="000000"/>
        </w:rPr>
      </w:pPr>
    </w:p>
    <w:p w14:paraId="2D57A475" w14:textId="77777777" w:rsidR="00A92E61" w:rsidRPr="001564DC" w:rsidRDefault="00A92E61">
      <w:pPr>
        <w:rPr>
          <w:rFonts w:asciiTheme="majorHAnsi" w:hAnsiTheme="majorHAnsi" w:cstheme="majorHAnsi"/>
          <w:b/>
          <w:color w:val="000000"/>
        </w:rPr>
      </w:pPr>
    </w:p>
    <w:p w14:paraId="164CDED1" w14:textId="77777777" w:rsidR="00DE74B0" w:rsidRPr="001564DC" w:rsidRDefault="00DE74B0">
      <w:pPr>
        <w:rPr>
          <w:rFonts w:asciiTheme="majorHAnsi" w:hAnsiTheme="majorHAnsi" w:cstheme="majorHAnsi"/>
          <w:b/>
          <w:color w:val="000000"/>
        </w:rPr>
      </w:pPr>
    </w:p>
    <w:p w14:paraId="1E0CC840" w14:textId="77777777" w:rsidR="00DE74B0" w:rsidRPr="001564DC" w:rsidRDefault="00DE74B0">
      <w:pPr>
        <w:rPr>
          <w:rFonts w:asciiTheme="majorHAnsi" w:hAnsiTheme="majorHAnsi" w:cstheme="majorHAnsi"/>
          <w:b/>
          <w:color w:val="000000"/>
        </w:rPr>
      </w:pPr>
    </w:p>
    <w:p w14:paraId="6B6B0E4C" w14:textId="77777777" w:rsidR="00A92E61" w:rsidRPr="001564DC" w:rsidRDefault="00C66914" w:rsidP="00A92E61">
      <w:pPr>
        <w:jc w:val="right"/>
        <w:rPr>
          <w:rFonts w:asciiTheme="majorHAnsi" w:hAnsiTheme="majorHAnsi" w:cstheme="majorHAnsi"/>
          <w:color w:val="00B050"/>
        </w:rPr>
      </w:pPr>
      <w:r w:rsidRPr="001564DC">
        <w:rPr>
          <w:rFonts w:asciiTheme="majorHAnsi" w:hAnsiTheme="majorHAnsi" w:cstheme="majorHAnsi"/>
          <w:color w:val="000000"/>
        </w:rPr>
        <w:t xml:space="preserve">Last Updated </w:t>
      </w:r>
      <w:r w:rsidRPr="001564DC">
        <w:rPr>
          <w:rFonts w:asciiTheme="majorHAnsi" w:hAnsiTheme="majorHAnsi" w:cstheme="majorHAnsi"/>
          <w:color w:val="00B050"/>
        </w:rPr>
        <w:t>month year</w:t>
      </w:r>
    </w:p>
    <w:p w14:paraId="05106BA7" w14:textId="77777777" w:rsidR="00C66914" w:rsidRPr="001564DC" w:rsidRDefault="00C66914" w:rsidP="00A92E61">
      <w:pPr>
        <w:jc w:val="right"/>
        <w:rPr>
          <w:rFonts w:asciiTheme="majorHAnsi" w:hAnsiTheme="majorHAnsi" w:cstheme="majorHAnsi"/>
          <w:color w:val="00B050"/>
        </w:rPr>
      </w:pPr>
    </w:p>
    <w:p w14:paraId="61FEAAD3" w14:textId="77777777" w:rsidR="00C66914" w:rsidRPr="001564DC" w:rsidRDefault="00C66914" w:rsidP="00A92E61">
      <w:pPr>
        <w:jc w:val="right"/>
        <w:rPr>
          <w:rFonts w:asciiTheme="majorHAnsi" w:hAnsiTheme="majorHAnsi" w:cstheme="majorHAnsi"/>
          <w:color w:val="00B050"/>
        </w:rPr>
      </w:pPr>
    </w:p>
    <w:p w14:paraId="01EC5399" w14:textId="77777777" w:rsidR="004430E3" w:rsidRPr="001564DC" w:rsidRDefault="004430E3" w:rsidP="004430E3">
      <w:pPr>
        <w:rPr>
          <w:rFonts w:asciiTheme="majorHAnsi" w:hAnsiTheme="majorHAnsi" w:cstheme="majorHAnsi"/>
          <w:b/>
          <w:i/>
          <w:color w:val="4472C4"/>
          <w:sz w:val="28"/>
          <w:szCs w:val="28"/>
        </w:rPr>
      </w:pPr>
      <w:r w:rsidRPr="001564DC">
        <w:rPr>
          <w:rFonts w:asciiTheme="majorHAnsi" w:hAnsiTheme="majorHAnsi" w:cstheme="majorHAnsi"/>
          <w:b/>
          <w:i/>
          <w:color w:val="4472C4"/>
          <w:sz w:val="28"/>
          <w:szCs w:val="28"/>
        </w:rPr>
        <w:t>Reference List</w:t>
      </w:r>
    </w:p>
    <w:p w14:paraId="624FBA1F" w14:textId="77777777" w:rsidR="00C66914" w:rsidRPr="001564DC" w:rsidRDefault="00C66914" w:rsidP="004430E3">
      <w:pPr>
        <w:rPr>
          <w:rFonts w:asciiTheme="majorHAnsi" w:hAnsiTheme="majorHAnsi" w:cstheme="majorHAnsi"/>
          <w:color w:val="92D050"/>
        </w:rPr>
      </w:pPr>
    </w:p>
    <w:sectPr w:rsidR="00C66914" w:rsidRPr="001564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6E201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729C9"/>
    <w:multiLevelType w:val="hybridMultilevel"/>
    <w:tmpl w:val="6B983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1DCD"/>
    <w:multiLevelType w:val="hybridMultilevel"/>
    <w:tmpl w:val="E47E7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C156C"/>
    <w:multiLevelType w:val="hybridMultilevel"/>
    <w:tmpl w:val="AF48D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00C95"/>
    <w:multiLevelType w:val="hybridMultilevel"/>
    <w:tmpl w:val="C624C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42"/>
    <w:rsid w:val="000C3E3B"/>
    <w:rsid w:val="000F3DE7"/>
    <w:rsid w:val="00111E6A"/>
    <w:rsid w:val="001564DC"/>
    <w:rsid w:val="001C485F"/>
    <w:rsid w:val="00222683"/>
    <w:rsid w:val="002551B1"/>
    <w:rsid w:val="00255B2B"/>
    <w:rsid w:val="00271FC4"/>
    <w:rsid w:val="00297516"/>
    <w:rsid w:val="002C0E19"/>
    <w:rsid w:val="0036616A"/>
    <w:rsid w:val="004430E3"/>
    <w:rsid w:val="004A1FAD"/>
    <w:rsid w:val="004A3A6F"/>
    <w:rsid w:val="004D72AB"/>
    <w:rsid w:val="004F0D96"/>
    <w:rsid w:val="005040A9"/>
    <w:rsid w:val="005729D5"/>
    <w:rsid w:val="00584E93"/>
    <w:rsid w:val="00594DBF"/>
    <w:rsid w:val="005D5B29"/>
    <w:rsid w:val="006108B1"/>
    <w:rsid w:val="00615C42"/>
    <w:rsid w:val="00635211"/>
    <w:rsid w:val="006377E3"/>
    <w:rsid w:val="00662316"/>
    <w:rsid w:val="00687480"/>
    <w:rsid w:val="007A4DB3"/>
    <w:rsid w:val="008430CE"/>
    <w:rsid w:val="00895684"/>
    <w:rsid w:val="008B017A"/>
    <w:rsid w:val="008E7ECE"/>
    <w:rsid w:val="00960563"/>
    <w:rsid w:val="00962611"/>
    <w:rsid w:val="00A309BA"/>
    <w:rsid w:val="00A43009"/>
    <w:rsid w:val="00A92E61"/>
    <w:rsid w:val="00AB4453"/>
    <w:rsid w:val="00AE095C"/>
    <w:rsid w:val="00B0096E"/>
    <w:rsid w:val="00B31EB7"/>
    <w:rsid w:val="00B35F9E"/>
    <w:rsid w:val="00BC74BD"/>
    <w:rsid w:val="00C66914"/>
    <w:rsid w:val="00C81232"/>
    <w:rsid w:val="00C853EF"/>
    <w:rsid w:val="00CB5E24"/>
    <w:rsid w:val="00D11F35"/>
    <w:rsid w:val="00D510A4"/>
    <w:rsid w:val="00DA6E93"/>
    <w:rsid w:val="00DC1DD6"/>
    <w:rsid w:val="00DE74B0"/>
    <w:rsid w:val="00DF7B84"/>
    <w:rsid w:val="00E43F96"/>
    <w:rsid w:val="00E525B0"/>
    <w:rsid w:val="00E82A1E"/>
    <w:rsid w:val="00E91D72"/>
    <w:rsid w:val="00EF33A1"/>
    <w:rsid w:val="00EF48CB"/>
    <w:rsid w:val="00EF7750"/>
    <w:rsid w:val="00F8481C"/>
    <w:rsid w:val="00FD40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E92DBE"/>
  <w14:defaultImageDpi w14:val="300"/>
  <w15:docId w15:val="{A4649A42-3500-49F7-B0A6-75695F05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34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6732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673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5B29"/>
    <w:pPr>
      <w:tabs>
        <w:tab w:val="left" w:pos="357"/>
      </w:tabs>
      <w:ind w:left="720"/>
      <w:contextualSpacing/>
      <w:jc w:val="both"/>
    </w:pPr>
    <w:rPr>
      <w:rFonts w:ascii="Calibri" w:eastAsia="Calibri" w:hAnsi="Calibri"/>
      <w:sz w:val="20"/>
      <w:szCs w:val="20"/>
    </w:rPr>
  </w:style>
  <w:style w:type="character" w:customStyle="1" w:styleId="apple-converted-space">
    <w:name w:val="apple-converted-space"/>
    <w:rsid w:val="00CB5E24"/>
  </w:style>
  <w:style w:type="character" w:styleId="Strong">
    <w:name w:val="Strong"/>
    <w:uiPriority w:val="22"/>
    <w:qFormat/>
    <w:rsid w:val="00CB5E24"/>
    <w:rPr>
      <w:b/>
      <w:bCs/>
    </w:rPr>
  </w:style>
  <w:style w:type="paragraph" w:styleId="Revision">
    <w:name w:val="Revision"/>
    <w:hidden/>
    <w:uiPriority w:val="99"/>
    <w:semiHidden/>
    <w:rsid w:val="00B31EB7"/>
    <w:rPr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E91D72"/>
    <w:rPr>
      <w:rFonts w:eastAsia="Calibri"/>
    </w:rPr>
  </w:style>
  <w:style w:type="character" w:styleId="Hyperlink">
    <w:name w:val="Hyperlink"/>
    <w:basedOn w:val="DefaultParagraphFont"/>
    <w:rsid w:val="00FD409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11F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1F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11F35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1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1F35"/>
    <w:rPr>
      <w:b/>
      <w:bCs/>
      <w:lang w:eastAsia="en-AU"/>
    </w:rPr>
  </w:style>
  <w:style w:type="character" w:styleId="FollowedHyperlink">
    <w:name w:val="FollowedHyperlink"/>
    <w:basedOn w:val="DefaultParagraphFont"/>
    <w:rsid w:val="00E43F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PRACTICE GUIDELINES – TEMPLATE VICTORIA WIDE</vt:lpstr>
    </vt:vector>
  </TitlesOfParts>
  <Company>NCAHS</Company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PRACTICE GUIDELINES – TEMPLATE VICTORIA WIDE</dc:title>
  <dc:subject/>
  <dc:creator>ch-library</dc:creator>
  <cp:keywords/>
  <dc:description/>
  <cp:lastModifiedBy>Lynne Ticehurst</cp:lastModifiedBy>
  <cp:revision>2</cp:revision>
  <dcterms:created xsi:type="dcterms:W3CDTF">2021-04-26T06:28:00Z</dcterms:created>
  <dcterms:modified xsi:type="dcterms:W3CDTF">2021-04-26T06:28:00Z</dcterms:modified>
</cp:coreProperties>
</file>