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F5C" w14:textId="63CDE44B" w:rsidR="007D67D9" w:rsidRPr="006E2EA3" w:rsidRDefault="007D67D9" w:rsidP="00D709CC">
      <w:pPr>
        <w:spacing w:after="200"/>
        <w:rPr>
          <w:rFonts w:ascii="Open Sans" w:hAnsi="Open Sans"/>
          <w:b/>
        </w:rPr>
      </w:pPr>
      <w:r w:rsidRPr="006E2EA3">
        <w:rPr>
          <w:rFonts w:ascii="Open Sans" w:hAnsi="Open Sans"/>
          <w:b/>
        </w:rPr>
        <w:t xml:space="preserve">Position </w:t>
      </w:r>
      <w:r w:rsidR="000832DB" w:rsidRPr="006E2EA3">
        <w:rPr>
          <w:rFonts w:ascii="Open Sans" w:hAnsi="Open Sans"/>
          <w:b/>
        </w:rPr>
        <w:t>D</w:t>
      </w:r>
      <w:r w:rsidRPr="006E2EA3">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7D67D9" w:rsidRPr="0096661C" w14:paraId="353FC3AD" w14:textId="77777777" w:rsidTr="00906DF8">
        <w:tc>
          <w:tcPr>
            <w:tcW w:w="2830" w:type="dxa"/>
            <w:shd w:val="clear" w:color="auto" w:fill="D9D9D9"/>
          </w:tcPr>
          <w:p w14:paraId="3C3D4326"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Position title</w:t>
            </w:r>
          </w:p>
        </w:tc>
        <w:tc>
          <w:tcPr>
            <w:tcW w:w="7201" w:type="dxa"/>
          </w:tcPr>
          <w:p w14:paraId="1545E3C5" w14:textId="185DA616" w:rsidR="007D67D9" w:rsidRPr="0096661C" w:rsidRDefault="00E55A61" w:rsidP="00694998">
            <w:pPr>
              <w:spacing w:before="60" w:after="60"/>
              <w:rPr>
                <w:rFonts w:asciiTheme="minorHAnsi" w:hAnsiTheme="minorHAnsi" w:cstheme="minorHAnsi"/>
                <w:sz w:val="18"/>
                <w:szCs w:val="18"/>
              </w:rPr>
            </w:pPr>
            <w:r>
              <w:rPr>
                <w:rFonts w:asciiTheme="minorHAnsi" w:hAnsiTheme="minorHAnsi" w:cstheme="minorHAnsi"/>
                <w:sz w:val="18"/>
                <w:szCs w:val="18"/>
              </w:rPr>
              <w:t>2026 VFPMS Fellow</w:t>
            </w:r>
          </w:p>
        </w:tc>
      </w:tr>
      <w:tr w:rsidR="007D67D9" w:rsidRPr="0096661C" w14:paraId="1F1F58F1" w14:textId="77777777" w:rsidTr="00906DF8">
        <w:tc>
          <w:tcPr>
            <w:tcW w:w="2830" w:type="dxa"/>
            <w:shd w:val="clear" w:color="auto" w:fill="D9D9D9"/>
          </w:tcPr>
          <w:p w14:paraId="6A4285C8"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 xml:space="preserve">Department / Division </w:t>
            </w:r>
          </w:p>
        </w:tc>
        <w:tc>
          <w:tcPr>
            <w:tcW w:w="7201" w:type="dxa"/>
          </w:tcPr>
          <w:p w14:paraId="151343DE" w14:textId="4B6B0386" w:rsidR="007D67D9" w:rsidRPr="0096661C" w:rsidRDefault="005321FA" w:rsidP="00694998">
            <w:pPr>
              <w:spacing w:before="60" w:after="60"/>
              <w:rPr>
                <w:rFonts w:asciiTheme="minorHAnsi" w:hAnsiTheme="minorHAnsi" w:cstheme="minorHAnsi"/>
                <w:sz w:val="18"/>
                <w:szCs w:val="18"/>
              </w:rPr>
            </w:pPr>
            <w:r w:rsidRPr="0096661C">
              <w:rPr>
                <w:rFonts w:asciiTheme="minorHAnsi" w:hAnsiTheme="minorHAnsi" w:cstheme="minorHAnsi"/>
                <w:sz w:val="18"/>
                <w:szCs w:val="18"/>
              </w:rPr>
              <w:t>Victorian Forensic Paediatric Medical Service (VFPMS)</w:t>
            </w:r>
          </w:p>
        </w:tc>
      </w:tr>
      <w:tr w:rsidR="006E2EA3" w:rsidRPr="0096661C" w14:paraId="351C47D1" w14:textId="77777777" w:rsidTr="006E2EA3">
        <w:tc>
          <w:tcPr>
            <w:tcW w:w="2830" w:type="dxa"/>
            <w:shd w:val="clear" w:color="auto" w:fill="D9D9D9"/>
          </w:tcPr>
          <w:p w14:paraId="10A3DF5C" w14:textId="77777777" w:rsidR="006E2EA3" w:rsidRPr="0096661C" w:rsidRDefault="006E2EA3"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Classification</w:t>
            </w:r>
          </w:p>
        </w:tc>
        <w:tc>
          <w:tcPr>
            <w:tcW w:w="7201" w:type="dxa"/>
          </w:tcPr>
          <w:p w14:paraId="2D4417E7" w14:textId="5A822584" w:rsidR="006E2EA3" w:rsidRPr="0096661C" w:rsidRDefault="0096661C" w:rsidP="00694998">
            <w:pPr>
              <w:spacing w:before="60" w:after="60"/>
              <w:rPr>
                <w:rFonts w:asciiTheme="minorHAnsi" w:hAnsiTheme="minorHAnsi" w:cstheme="minorHAnsi"/>
                <w:sz w:val="18"/>
                <w:szCs w:val="18"/>
              </w:rPr>
            </w:pPr>
            <w:r w:rsidRPr="0096661C">
              <w:rPr>
                <w:rFonts w:asciiTheme="minorHAnsi" w:hAnsiTheme="minorHAnsi" w:cstheme="minorHAnsi"/>
                <w:sz w:val="18"/>
                <w:szCs w:val="18"/>
              </w:rPr>
              <w:t>HM25 Registrar Year 01 – HM30 Registrar Year 06+</w:t>
            </w:r>
            <w:r w:rsidR="006E2EA3" w:rsidRPr="0096661C">
              <w:rPr>
                <w:rFonts w:asciiTheme="minorHAnsi" w:hAnsiTheme="minorHAnsi" w:cstheme="minorHAnsi"/>
                <w:sz w:val="18"/>
                <w:szCs w:val="18"/>
              </w:rPr>
              <w:t xml:space="preserve"> </w:t>
            </w:r>
          </w:p>
        </w:tc>
      </w:tr>
      <w:tr w:rsidR="007D67D9" w:rsidRPr="0096661C" w14:paraId="6B9CB866" w14:textId="77777777" w:rsidTr="00906DF8">
        <w:tc>
          <w:tcPr>
            <w:tcW w:w="2830" w:type="dxa"/>
            <w:shd w:val="clear" w:color="auto" w:fill="D9D9D9"/>
          </w:tcPr>
          <w:p w14:paraId="18FBE981"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Position reports to</w:t>
            </w:r>
          </w:p>
        </w:tc>
        <w:tc>
          <w:tcPr>
            <w:tcW w:w="7201" w:type="dxa"/>
          </w:tcPr>
          <w:p w14:paraId="77AAB989" w14:textId="2BD398AD" w:rsidR="007D67D9" w:rsidRPr="0096661C" w:rsidRDefault="0096661C" w:rsidP="00694998">
            <w:pPr>
              <w:spacing w:before="60" w:after="60"/>
              <w:rPr>
                <w:rFonts w:asciiTheme="minorHAnsi" w:hAnsiTheme="minorHAnsi" w:cstheme="minorHAnsi"/>
                <w:sz w:val="18"/>
                <w:szCs w:val="18"/>
              </w:rPr>
            </w:pPr>
            <w:r w:rsidRPr="0096661C">
              <w:rPr>
                <w:rFonts w:asciiTheme="minorHAnsi" w:hAnsiTheme="minorHAnsi" w:cstheme="minorHAnsi"/>
                <w:sz w:val="18"/>
                <w:szCs w:val="18"/>
              </w:rPr>
              <w:t>Medical Director, VFPMS</w:t>
            </w:r>
            <w:r w:rsidR="007D67D9" w:rsidRPr="0096661C">
              <w:rPr>
                <w:rFonts w:asciiTheme="minorHAnsi" w:hAnsiTheme="minorHAnsi" w:cstheme="minorHAnsi"/>
                <w:sz w:val="18"/>
                <w:szCs w:val="18"/>
              </w:rPr>
              <w:t xml:space="preserve"> </w:t>
            </w:r>
          </w:p>
        </w:tc>
      </w:tr>
      <w:tr w:rsidR="00147805" w:rsidRPr="0096661C" w14:paraId="0F1C2213" w14:textId="77777777" w:rsidTr="00906DF8">
        <w:tc>
          <w:tcPr>
            <w:tcW w:w="2830" w:type="dxa"/>
            <w:tcBorders>
              <w:bottom w:val="single" w:sz="4" w:space="0" w:color="auto"/>
            </w:tcBorders>
            <w:shd w:val="clear" w:color="auto" w:fill="D9D9D9"/>
          </w:tcPr>
          <w:p w14:paraId="6C10D44E" w14:textId="3F652D0B" w:rsidR="00147805" w:rsidRPr="0096661C" w:rsidRDefault="00906DF8"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No. of direct &amp; indirect reports</w:t>
            </w:r>
            <w:r w:rsidR="00147805" w:rsidRPr="0096661C">
              <w:rPr>
                <w:rFonts w:asciiTheme="minorHAnsi" w:hAnsiTheme="minorHAnsi" w:cstheme="minorHAnsi"/>
                <w:b/>
                <w:sz w:val="18"/>
                <w:szCs w:val="18"/>
              </w:rPr>
              <w:t xml:space="preserve"> </w:t>
            </w:r>
          </w:p>
        </w:tc>
        <w:tc>
          <w:tcPr>
            <w:tcW w:w="7201" w:type="dxa"/>
          </w:tcPr>
          <w:p w14:paraId="5CADB596" w14:textId="26CB5E96" w:rsidR="00147805" w:rsidRPr="0096661C" w:rsidRDefault="0096661C" w:rsidP="00694998">
            <w:pPr>
              <w:spacing w:before="60" w:after="60"/>
              <w:rPr>
                <w:rFonts w:asciiTheme="minorHAnsi" w:hAnsiTheme="minorHAnsi" w:cstheme="minorHAnsi"/>
                <w:sz w:val="18"/>
                <w:szCs w:val="18"/>
              </w:rPr>
            </w:pPr>
            <w:r w:rsidRPr="0096661C">
              <w:rPr>
                <w:rFonts w:asciiTheme="minorHAnsi" w:hAnsiTheme="minorHAnsi" w:cstheme="minorHAnsi"/>
                <w:sz w:val="18"/>
                <w:szCs w:val="18"/>
              </w:rPr>
              <w:t>N/A</w:t>
            </w:r>
          </w:p>
        </w:tc>
      </w:tr>
      <w:tr w:rsidR="007D67D9" w:rsidRPr="0096661C" w14:paraId="647B0BD2" w14:textId="77777777" w:rsidTr="00F10F5C">
        <w:tc>
          <w:tcPr>
            <w:tcW w:w="2830" w:type="dxa"/>
            <w:shd w:val="clear" w:color="auto" w:fill="D9D9D9"/>
          </w:tcPr>
          <w:p w14:paraId="765B162A"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 xml:space="preserve">Location </w:t>
            </w:r>
          </w:p>
        </w:tc>
        <w:tc>
          <w:tcPr>
            <w:tcW w:w="7201" w:type="dxa"/>
          </w:tcPr>
          <w:p w14:paraId="1F6E45DE" w14:textId="4BEA117D" w:rsidR="007D67D9" w:rsidRPr="0096661C" w:rsidRDefault="007D67D9" w:rsidP="00694998">
            <w:pPr>
              <w:spacing w:before="60" w:after="60"/>
              <w:rPr>
                <w:rFonts w:asciiTheme="minorHAnsi" w:hAnsiTheme="minorHAnsi" w:cstheme="minorHAnsi"/>
                <w:sz w:val="18"/>
                <w:szCs w:val="18"/>
              </w:rPr>
            </w:pPr>
            <w:r w:rsidRPr="0096661C">
              <w:rPr>
                <w:rFonts w:asciiTheme="minorHAnsi" w:hAnsiTheme="minorHAnsi" w:cstheme="minorHAnsi"/>
                <w:sz w:val="18"/>
                <w:szCs w:val="18"/>
              </w:rPr>
              <w:t>The Royal Children’s Hospital, Flemington Road, Parkville</w:t>
            </w:r>
            <w:r w:rsidR="0096661C" w:rsidRPr="0096661C">
              <w:rPr>
                <w:rFonts w:asciiTheme="minorHAnsi" w:hAnsiTheme="minorHAnsi" w:cstheme="minorHAnsi"/>
                <w:sz w:val="18"/>
                <w:szCs w:val="18"/>
              </w:rPr>
              <w:t xml:space="preserve"> &amp; Monash Children’s Hospital, Clayton</w:t>
            </w:r>
          </w:p>
        </w:tc>
      </w:tr>
      <w:tr w:rsidR="00F10F5C" w:rsidRPr="0096661C" w14:paraId="6B4B0E4D" w14:textId="77777777" w:rsidTr="00906DF8">
        <w:tc>
          <w:tcPr>
            <w:tcW w:w="2830" w:type="dxa"/>
            <w:tcBorders>
              <w:bottom w:val="single" w:sz="4" w:space="0" w:color="auto"/>
            </w:tcBorders>
            <w:shd w:val="clear" w:color="auto" w:fill="D9D9D9"/>
          </w:tcPr>
          <w:p w14:paraId="72480208" w14:textId="76090166" w:rsidR="00F10F5C" w:rsidRPr="0096661C" w:rsidRDefault="00F10F5C"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Risk category</w:t>
            </w:r>
          </w:p>
        </w:tc>
        <w:tc>
          <w:tcPr>
            <w:tcW w:w="7201" w:type="dxa"/>
          </w:tcPr>
          <w:p w14:paraId="4F82E2FE" w14:textId="4E102996" w:rsidR="00F10F5C" w:rsidRPr="0096661C" w:rsidRDefault="00F10F5C" w:rsidP="00F10F5C">
            <w:pPr>
              <w:spacing w:before="60" w:after="60"/>
              <w:rPr>
                <w:rFonts w:asciiTheme="minorHAnsi" w:hAnsiTheme="minorHAnsi" w:cstheme="minorHAnsi"/>
                <w:sz w:val="18"/>
                <w:szCs w:val="18"/>
              </w:rPr>
            </w:pPr>
            <w:r w:rsidRPr="0096661C">
              <w:rPr>
                <w:rFonts w:asciiTheme="minorHAnsi" w:hAnsiTheme="minorHAnsi" w:cstheme="minorHAnsi"/>
                <w:sz w:val="18"/>
                <w:szCs w:val="18"/>
              </w:rPr>
              <w:t xml:space="preserve">Category A - works in a direct patient contact role and has or potential to have exposure to blood or body fluids. </w:t>
            </w:r>
          </w:p>
        </w:tc>
      </w:tr>
    </w:tbl>
    <w:p w14:paraId="32582F61" w14:textId="77777777" w:rsidR="007D67D9" w:rsidRPr="0096661C" w:rsidRDefault="007D67D9" w:rsidP="002D3166">
      <w:pPr>
        <w:rPr>
          <w:rFonts w:asciiTheme="minorHAnsi" w:hAnsiTheme="minorHAnsi" w:cstheme="minorHAnsi"/>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96661C" w14:paraId="32041B74" w14:textId="77777777" w:rsidTr="00694998">
        <w:tc>
          <w:tcPr>
            <w:tcW w:w="10031" w:type="dxa"/>
            <w:shd w:val="clear" w:color="auto" w:fill="D9D9D9"/>
          </w:tcPr>
          <w:p w14:paraId="3C8E168E"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The Royal Children’s Hospital</w:t>
            </w:r>
          </w:p>
        </w:tc>
      </w:tr>
      <w:tr w:rsidR="007D67D9" w:rsidRPr="0096661C" w14:paraId="1C17E1B5" w14:textId="77777777" w:rsidTr="00694998">
        <w:tc>
          <w:tcPr>
            <w:tcW w:w="10031" w:type="dxa"/>
          </w:tcPr>
          <w:p w14:paraId="7F221B0B" w14:textId="03270357" w:rsidR="00B31ABC" w:rsidRPr="0096661C" w:rsidRDefault="00B31ABC" w:rsidP="00B31ABC">
            <w:pPr>
              <w:spacing w:before="60" w:after="120"/>
              <w:jc w:val="both"/>
              <w:rPr>
                <w:rFonts w:asciiTheme="minorHAnsi" w:hAnsiTheme="minorHAnsi" w:cstheme="minorHAnsi"/>
                <w:sz w:val="18"/>
                <w:szCs w:val="18"/>
              </w:rPr>
            </w:pPr>
            <w:r w:rsidRPr="0096661C">
              <w:rPr>
                <w:rFonts w:asciiTheme="minorHAnsi" w:hAnsiTheme="minorHAnsi" w:cstheme="minorHAnsi"/>
                <w:sz w:val="18"/>
                <w:szCs w:val="18"/>
              </w:rPr>
              <w:t>The Royal Children’s Hospital’s (RCH) vision</w:t>
            </w:r>
            <w:r w:rsidR="00953AC3" w:rsidRPr="0096661C">
              <w:rPr>
                <w:rFonts w:asciiTheme="minorHAnsi" w:hAnsiTheme="minorHAnsi" w:cstheme="minorHAnsi"/>
                <w:sz w:val="18"/>
                <w:szCs w:val="18"/>
              </w:rPr>
              <w:t xml:space="preserve"> is</w:t>
            </w:r>
            <w:r w:rsidRPr="0096661C">
              <w:rPr>
                <w:rFonts w:asciiTheme="minorHAnsi" w:hAnsiTheme="minorHAnsi" w:cstheme="minorHAnsi"/>
                <w:sz w:val="18"/>
                <w:szCs w:val="18"/>
              </w:rPr>
              <w:t xml:space="preserve"> </w:t>
            </w:r>
            <w:r w:rsidR="00A172A3" w:rsidRPr="0096661C">
              <w:rPr>
                <w:rFonts w:asciiTheme="minorHAnsi" w:hAnsiTheme="minorHAnsi" w:cstheme="minorHAnsi"/>
                <w:sz w:val="18"/>
                <w:szCs w:val="18"/>
              </w:rPr>
              <w:t>A world where all kids thrive</w:t>
            </w:r>
            <w:r w:rsidRPr="0096661C">
              <w:rPr>
                <w:rFonts w:asciiTheme="minorHAnsi" w:hAnsiTheme="minorHAnsi" w:cstheme="minorHAnsi"/>
                <w:sz w:val="18"/>
                <w:szCs w:val="18"/>
              </w:rPr>
              <w:t>.</w:t>
            </w:r>
          </w:p>
          <w:p w14:paraId="5A748395" w14:textId="77777777" w:rsidR="00B31ABC" w:rsidRPr="0096661C" w:rsidRDefault="00B31ABC" w:rsidP="00B31ABC">
            <w:pPr>
              <w:spacing w:before="60" w:after="120"/>
              <w:jc w:val="both"/>
              <w:rPr>
                <w:rFonts w:asciiTheme="minorHAnsi" w:hAnsiTheme="minorHAnsi" w:cstheme="minorHAnsi"/>
                <w:sz w:val="18"/>
                <w:szCs w:val="18"/>
              </w:rPr>
            </w:pPr>
            <w:r w:rsidRPr="0096661C">
              <w:rPr>
                <w:rFonts w:asciiTheme="minorHAnsi" w:hAnsiTheme="minorHAnsi" w:cstheme="minorHAnsi"/>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96661C" w:rsidRDefault="00B31ABC" w:rsidP="00B31ABC">
            <w:pPr>
              <w:spacing w:before="60" w:after="120"/>
              <w:jc w:val="both"/>
              <w:rPr>
                <w:rFonts w:asciiTheme="minorHAnsi" w:hAnsiTheme="minorHAnsi" w:cstheme="minorHAnsi"/>
                <w:sz w:val="18"/>
                <w:szCs w:val="18"/>
              </w:rPr>
            </w:pPr>
            <w:r w:rsidRPr="0096661C">
              <w:rPr>
                <w:rFonts w:asciiTheme="minorHAnsi" w:hAnsiTheme="minorHAnsi" w:cstheme="minorHAnsi"/>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96661C" w:rsidRDefault="00B31ABC" w:rsidP="00B31ABC">
            <w:pPr>
              <w:spacing w:before="60" w:after="120"/>
              <w:jc w:val="both"/>
              <w:rPr>
                <w:rFonts w:asciiTheme="minorHAnsi" w:hAnsiTheme="minorHAnsi" w:cstheme="minorHAnsi"/>
                <w:sz w:val="18"/>
                <w:szCs w:val="18"/>
              </w:rPr>
            </w:pPr>
            <w:r w:rsidRPr="0096661C">
              <w:rPr>
                <w:rFonts w:asciiTheme="minorHAnsi" w:hAnsiTheme="minorHAnsi" w:cstheme="minorHAnsi"/>
                <w:sz w:val="18"/>
                <w:szCs w:val="18"/>
              </w:rPr>
              <w:t xml:space="preserve">We work collaboratively with hospitals to deliver the right care, in the right place, at the right time. The RCH is committed to the Child Safe Standards </w:t>
            </w:r>
            <w:hyperlink r:id="rId8" w:history="1">
              <w:r w:rsidRPr="0096661C">
                <w:rPr>
                  <w:rStyle w:val="Hyperlink"/>
                  <w:rFonts w:asciiTheme="minorHAnsi" w:hAnsiTheme="minorHAnsi" w:cstheme="minorHAnsi"/>
                  <w:sz w:val="18"/>
                  <w:szCs w:val="18"/>
                </w:rPr>
                <w:t>https://www.rch.org.au/quality/child-safety/</w:t>
              </w:r>
            </w:hyperlink>
            <w:r w:rsidRPr="0096661C">
              <w:rPr>
                <w:rFonts w:asciiTheme="minorHAnsi" w:hAnsiTheme="minorHAnsi" w:cstheme="minorHAnsi"/>
                <w:sz w:val="18"/>
                <w:szCs w:val="18"/>
              </w:rPr>
              <w:t xml:space="preserve">.  </w:t>
            </w:r>
          </w:p>
          <w:p w14:paraId="7A8EEE6A" w14:textId="77777777" w:rsidR="00B31ABC" w:rsidRPr="0096661C" w:rsidRDefault="00B31ABC" w:rsidP="00B31ABC">
            <w:pPr>
              <w:spacing w:before="60" w:after="120"/>
              <w:jc w:val="both"/>
              <w:rPr>
                <w:rFonts w:asciiTheme="minorHAnsi" w:hAnsiTheme="minorHAnsi" w:cstheme="minorHAnsi"/>
                <w:sz w:val="18"/>
                <w:szCs w:val="18"/>
              </w:rPr>
            </w:pPr>
            <w:r w:rsidRPr="0096661C">
              <w:rPr>
                <w:rFonts w:asciiTheme="minorHAnsi" w:hAnsiTheme="minorHAnsi" w:cstheme="minorHAnsi"/>
                <w:sz w:val="18"/>
                <w:szCs w:val="18"/>
              </w:rPr>
              <w:t>RCH enjoys high employee engagement and is committed to staff safety and a positive culture through enactment of our Compact.</w:t>
            </w:r>
          </w:p>
          <w:p w14:paraId="3E2B3EE0" w14:textId="41C3D04D" w:rsidR="006E2EA3" w:rsidRPr="0096661C" w:rsidRDefault="00B31ABC" w:rsidP="005B2A20">
            <w:pPr>
              <w:rPr>
                <w:rFonts w:asciiTheme="minorHAnsi" w:hAnsiTheme="minorHAnsi" w:cstheme="minorHAnsi"/>
                <w:sz w:val="18"/>
                <w:szCs w:val="18"/>
              </w:rPr>
            </w:pPr>
            <w:r w:rsidRPr="0096661C">
              <w:rPr>
                <w:rFonts w:asciiTheme="minorHAnsi" w:hAnsiTheme="minorHAnsi" w:cstheme="minorHAnsi"/>
                <w:sz w:val="18"/>
                <w:szCs w:val="18"/>
              </w:rPr>
              <w:t xml:space="preserve">Further information on RCH is available at </w:t>
            </w:r>
            <w:hyperlink r:id="rId9" w:history="1">
              <w:r w:rsidRPr="0096661C">
                <w:rPr>
                  <w:rStyle w:val="Hyperlink"/>
                  <w:rFonts w:asciiTheme="minorHAnsi" w:hAnsiTheme="minorHAnsi" w:cstheme="minorHAnsi"/>
                  <w:sz w:val="18"/>
                  <w:szCs w:val="18"/>
                </w:rPr>
                <w:t>www.rch.org.au</w:t>
              </w:r>
            </w:hyperlink>
            <w:r w:rsidRPr="0096661C">
              <w:rPr>
                <w:rFonts w:asciiTheme="minorHAnsi" w:hAnsiTheme="minorHAnsi" w:cstheme="minorHAnsi"/>
                <w:sz w:val="18"/>
                <w:szCs w:val="18"/>
              </w:rPr>
              <w:t xml:space="preserve"> </w:t>
            </w:r>
          </w:p>
        </w:tc>
      </w:tr>
    </w:tbl>
    <w:p w14:paraId="5111DFBD" w14:textId="77777777" w:rsidR="006E2EA3" w:rsidRPr="0096661C" w:rsidRDefault="006E2EA3" w:rsidP="00D709CC">
      <w:pPr>
        <w:outlineLvl w:val="0"/>
        <w:rPr>
          <w:rFonts w:asciiTheme="minorHAnsi" w:hAnsiTheme="minorHAnsi" w:cstheme="minorHAnsi"/>
          <w:b/>
          <w:sz w:val="18"/>
          <w:szCs w:val="18"/>
        </w:rPr>
      </w:pPr>
    </w:p>
    <w:p w14:paraId="22410FCB" w14:textId="77777777" w:rsidR="0096661C" w:rsidRPr="0096661C" w:rsidRDefault="0096661C" w:rsidP="00D709CC">
      <w:pPr>
        <w:outlineLvl w:val="0"/>
        <w:rPr>
          <w:rFonts w:asciiTheme="minorHAnsi" w:hAnsiTheme="minorHAnsi" w:cstheme="minorHAnsi"/>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96661C" w14:paraId="4F728764" w14:textId="77777777" w:rsidTr="00A172A3">
        <w:tc>
          <w:tcPr>
            <w:tcW w:w="10031" w:type="dxa"/>
            <w:shd w:val="clear" w:color="auto" w:fill="D9D9D9"/>
          </w:tcPr>
          <w:p w14:paraId="155DEDA5" w14:textId="77777777" w:rsidR="00BC7AC4" w:rsidRPr="0096661C" w:rsidRDefault="00BC7AC4" w:rsidP="00A172A3">
            <w:pPr>
              <w:spacing w:before="60" w:after="60"/>
              <w:rPr>
                <w:rFonts w:asciiTheme="minorHAnsi" w:hAnsiTheme="minorHAnsi" w:cstheme="minorHAnsi"/>
                <w:b/>
                <w:sz w:val="18"/>
                <w:szCs w:val="18"/>
              </w:rPr>
            </w:pPr>
            <w:r w:rsidRPr="0096661C">
              <w:rPr>
                <w:rFonts w:asciiTheme="minorHAnsi" w:hAnsiTheme="minorHAnsi" w:cstheme="minorHAnsi"/>
                <w:b/>
                <w:sz w:val="18"/>
                <w:szCs w:val="18"/>
              </w:rPr>
              <w:t>ROLE PURPOSE</w:t>
            </w:r>
          </w:p>
        </w:tc>
      </w:tr>
      <w:tr w:rsidR="0096661C" w:rsidRPr="0096661C" w14:paraId="3E657677" w14:textId="77777777" w:rsidTr="00A172A3">
        <w:tc>
          <w:tcPr>
            <w:tcW w:w="10031" w:type="dxa"/>
          </w:tcPr>
          <w:p w14:paraId="71196348" w14:textId="77777777"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 xml:space="preserve">The Fellow in Forensic Paediatric Medicine is an advanced trainee in paediatric medicine, registered and supervised in accordance with training requirements and curricula of the Royal Australasian College of Physicians (or equivalent). </w:t>
            </w:r>
          </w:p>
          <w:p w14:paraId="7602C0E8" w14:textId="77777777"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 xml:space="preserve">The VFPMS Fellows are supervised in their day-to-day clinical practice by Sessional Specialist Paediatricians at the MCH and the RCH. Supervision of advanced training and regular supervision of clinical work is provided by RACP accredited supervisors in accordance with RACP curricula and as agreed with the Specialist Training Committees of the RACP. </w:t>
            </w:r>
          </w:p>
          <w:p w14:paraId="62AF78F1" w14:textId="77777777"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As part of the multidisciplinary VFPMS team, the VFPMS Fellow provides direct clinical services for children when abuse, assault and neglect have been suspected. Consultations are provided at the RCH and the MCH. Fellows work at both sites for sessions during the day and cover both sites after hours when on call.</w:t>
            </w:r>
          </w:p>
          <w:p w14:paraId="00BFAEB7" w14:textId="77777777"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Training in forensic paediatric medicine will be provided, including training in the evaluation of child sexual abuse, writing medico-legal reports and presenting evidence to other professionals and the courts. Full details of the training program are provided in the VFPMS Fellow’s Training Manual.</w:t>
            </w:r>
          </w:p>
          <w:p w14:paraId="549E4AF1" w14:textId="02EE9066"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lastRenderedPageBreak/>
              <w:t>The t</w:t>
            </w:r>
            <w:r w:rsidR="00E55A61">
              <w:rPr>
                <w:rFonts w:asciiTheme="minorHAnsi" w:hAnsiTheme="minorHAnsi" w:cstheme="minorHAnsi"/>
                <w:bCs/>
                <w:color w:val="485560"/>
                <w:sz w:val="18"/>
                <w:szCs w:val="18"/>
              </w:rPr>
              <w:t>wo</w:t>
            </w:r>
            <w:r w:rsidRPr="0096661C">
              <w:rPr>
                <w:rFonts w:asciiTheme="minorHAnsi" w:hAnsiTheme="minorHAnsi" w:cstheme="minorHAnsi"/>
                <w:bCs/>
                <w:color w:val="485560"/>
                <w:sz w:val="18"/>
                <w:szCs w:val="18"/>
              </w:rPr>
              <w:t xml:space="preserve"> training positions are suitable for trainees approaching the end of their advanced training. </w:t>
            </w:r>
          </w:p>
          <w:p w14:paraId="77C0E6DC" w14:textId="57ADDCB0" w:rsidR="0096661C" w:rsidRPr="0096661C" w:rsidRDefault="0096661C" w:rsidP="0096661C">
            <w:pPr>
              <w:autoSpaceDE w:val="0"/>
              <w:autoSpaceDN w:val="0"/>
              <w:adjustRightInd w:val="0"/>
              <w:spacing w:before="40" w:after="40"/>
              <w:rPr>
                <w:rFonts w:asciiTheme="minorHAnsi" w:hAnsiTheme="minorHAnsi" w:cstheme="minorHAnsi"/>
                <w:bCs/>
                <w:sz w:val="18"/>
                <w:szCs w:val="18"/>
              </w:rPr>
            </w:pPr>
            <w:r w:rsidRPr="0096661C">
              <w:rPr>
                <w:rFonts w:asciiTheme="minorHAnsi" w:hAnsiTheme="minorHAnsi" w:cstheme="minorHAnsi"/>
                <w:bCs/>
                <w:color w:val="485560"/>
                <w:sz w:val="18"/>
                <w:szCs w:val="18"/>
              </w:rPr>
              <w:t xml:space="preserve">Demonstrated competency in the clinical evaluation of children’s medical conditions and developmental abilities is desirable. Training will be provided in skills related to clinical forensic medicine. </w:t>
            </w:r>
          </w:p>
        </w:tc>
      </w:tr>
    </w:tbl>
    <w:p w14:paraId="2DD9BE15" w14:textId="77777777" w:rsidR="00BC7AC4" w:rsidRPr="0096661C" w:rsidRDefault="00BC7AC4" w:rsidP="00D709CC">
      <w:pPr>
        <w:outlineLvl w:val="0"/>
        <w:rPr>
          <w:rFonts w:asciiTheme="minorHAnsi" w:hAnsiTheme="minorHAnsi" w:cstheme="minorHAnsi"/>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96661C" w14:paraId="5610DCFB" w14:textId="77777777" w:rsidTr="00694998">
        <w:tc>
          <w:tcPr>
            <w:tcW w:w="10031" w:type="dxa"/>
            <w:shd w:val="clear" w:color="auto" w:fill="D9D9D9"/>
          </w:tcPr>
          <w:p w14:paraId="7E3F1B8D"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KEY ACCOUNTABILITIES</w:t>
            </w:r>
          </w:p>
        </w:tc>
      </w:tr>
      <w:tr w:rsidR="007D67D9" w:rsidRPr="0096661C" w14:paraId="3AA04A89" w14:textId="77777777" w:rsidTr="00694998">
        <w:tc>
          <w:tcPr>
            <w:tcW w:w="10031" w:type="dxa"/>
          </w:tcPr>
          <w:p w14:paraId="5B148E2D"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 xml:space="preserve">Provide forensic medical examinations and reports for children and young people when abuse, assault and/or neglect have been suspected </w:t>
            </w:r>
          </w:p>
          <w:p w14:paraId="3E9F47E3"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Provide consultation and advice to patients and stakeholders of VFPMS (e.g. health professionals, police, Child Protection)</w:t>
            </w:r>
          </w:p>
          <w:p w14:paraId="7F95ACBF"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Attend court as required</w:t>
            </w:r>
          </w:p>
          <w:p w14:paraId="2C11210F"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 xml:space="preserve">Participate in the VFPMS on call roster (on call commitments are approximately 1 week in 4, split rostering, with </w:t>
            </w:r>
            <w:proofErr w:type="gramStart"/>
            <w:r w:rsidRPr="0096661C">
              <w:rPr>
                <w:rFonts w:asciiTheme="minorHAnsi" w:hAnsiTheme="minorHAnsi" w:cstheme="minorHAnsi"/>
                <w:bCs/>
                <w:color w:val="485560"/>
                <w:sz w:val="18"/>
                <w:szCs w:val="18"/>
              </w:rPr>
              <w:t>Consultant</w:t>
            </w:r>
            <w:proofErr w:type="gramEnd"/>
            <w:r w:rsidRPr="0096661C">
              <w:rPr>
                <w:rFonts w:asciiTheme="minorHAnsi" w:hAnsiTheme="minorHAnsi" w:cstheme="minorHAnsi"/>
                <w:bCs/>
                <w:color w:val="485560"/>
                <w:sz w:val="18"/>
                <w:szCs w:val="18"/>
              </w:rPr>
              <w:t xml:space="preserve"> supervision and support)</w:t>
            </w:r>
          </w:p>
          <w:p w14:paraId="282E1817"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Collaborate with health and counselling services to ensure that children, young people and their families access the broad range of health, mental health and support services available to them</w:t>
            </w:r>
          </w:p>
          <w:p w14:paraId="0B5EE374"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Develop working partnerships with referrers, other health service professionals, and community agencies</w:t>
            </w:r>
          </w:p>
          <w:p w14:paraId="52489C5A"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Undertake a project or quality assurance activity during the rotation period</w:t>
            </w:r>
          </w:p>
          <w:p w14:paraId="46A2FFE9"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Participate in peer review meetings</w:t>
            </w:r>
          </w:p>
          <w:p w14:paraId="764077F7"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Contribute constructively and effectively as a member of a multidisciplinary team</w:t>
            </w:r>
          </w:p>
          <w:p w14:paraId="22473545"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Balance sometimes competing and conflicting priorities</w:t>
            </w:r>
          </w:p>
          <w:p w14:paraId="20D35955"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Participate in opportunities to increase knowledge and skills in forensic paediatric medicine</w:t>
            </w:r>
          </w:p>
          <w:p w14:paraId="6716CD5F" w14:textId="77777777" w:rsidR="0096661C" w:rsidRPr="0096661C" w:rsidRDefault="0096661C" w:rsidP="0096661C">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Respond in a timely manner</w:t>
            </w:r>
          </w:p>
          <w:p w14:paraId="2575FE0F" w14:textId="67D58C79" w:rsidR="007D67D9" w:rsidRPr="0096661C" w:rsidRDefault="0096661C" w:rsidP="00325E43">
            <w:pPr>
              <w:numPr>
                <w:ilvl w:val="0"/>
                <w:numId w:val="5"/>
              </w:numPr>
              <w:autoSpaceDE w:val="0"/>
              <w:autoSpaceDN w:val="0"/>
              <w:adjustRightInd w:val="0"/>
              <w:spacing w:before="40" w:after="40"/>
              <w:rPr>
                <w:rFonts w:asciiTheme="minorHAnsi" w:hAnsiTheme="minorHAnsi" w:cstheme="minorHAnsi"/>
                <w:bCs/>
                <w:color w:val="485560"/>
                <w:sz w:val="18"/>
                <w:szCs w:val="18"/>
              </w:rPr>
            </w:pPr>
            <w:r w:rsidRPr="0096661C">
              <w:rPr>
                <w:rFonts w:asciiTheme="minorHAnsi" w:hAnsiTheme="minorHAnsi" w:cstheme="minorHAnsi"/>
                <w:bCs/>
                <w:color w:val="485560"/>
                <w:sz w:val="18"/>
                <w:szCs w:val="18"/>
              </w:rPr>
              <w:t>It is the responsibility of the individual to organise their own transport to and from their rostered sites (and between sites where applicable)</w:t>
            </w:r>
          </w:p>
        </w:tc>
      </w:tr>
    </w:tbl>
    <w:p w14:paraId="7C1E6C42" w14:textId="77777777" w:rsidR="007D67D9" w:rsidRPr="0096661C" w:rsidRDefault="007D67D9" w:rsidP="002D3166">
      <w:pPr>
        <w:rPr>
          <w:rFonts w:asciiTheme="minorHAnsi" w:hAnsiTheme="minorHAnsi" w:cstheme="minorHAnsi"/>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96661C" w14:paraId="765CDE8E" w14:textId="77777777" w:rsidTr="00694998">
        <w:tc>
          <w:tcPr>
            <w:tcW w:w="10031" w:type="dxa"/>
            <w:shd w:val="clear" w:color="auto" w:fill="D9D9D9"/>
          </w:tcPr>
          <w:p w14:paraId="05E9D354"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QUALIFICATIONS AND EXPERIENCE</w:t>
            </w:r>
          </w:p>
        </w:tc>
      </w:tr>
      <w:tr w:rsidR="007D67D9" w:rsidRPr="0096661C" w14:paraId="48D81C34" w14:textId="77777777" w:rsidTr="00694998">
        <w:tc>
          <w:tcPr>
            <w:tcW w:w="10031" w:type="dxa"/>
          </w:tcPr>
          <w:p w14:paraId="2EAA6225" w14:textId="77777777"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To be successful in this role the applicant will have:</w:t>
            </w:r>
          </w:p>
          <w:p w14:paraId="5984019A" w14:textId="77777777" w:rsidR="0096661C" w:rsidRPr="0096661C" w:rsidRDefault="0096661C" w:rsidP="0096661C">
            <w:pPr>
              <w:numPr>
                <w:ilvl w:val="0"/>
                <w:numId w:val="1"/>
              </w:numPr>
              <w:autoSpaceDE w:val="0"/>
              <w:autoSpaceDN w:val="0"/>
              <w:adjustRightInd w:val="0"/>
              <w:spacing w:before="40" w:after="40"/>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MBBS or equivalent</w:t>
            </w:r>
          </w:p>
          <w:p w14:paraId="383E5AD2" w14:textId="77777777" w:rsidR="0096661C" w:rsidRPr="0096661C" w:rsidRDefault="0096661C" w:rsidP="0096661C">
            <w:pPr>
              <w:numPr>
                <w:ilvl w:val="0"/>
                <w:numId w:val="1"/>
              </w:numPr>
              <w:autoSpaceDE w:val="0"/>
              <w:autoSpaceDN w:val="0"/>
              <w:adjustRightInd w:val="0"/>
              <w:spacing w:before="40" w:after="40"/>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AHPRA registration (eligible for registration in Victoria)</w:t>
            </w:r>
          </w:p>
          <w:p w14:paraId="17E860D9" w14:textId="512834A6" w:rsidR="007D67D9" w:rsidRPr="004C7140" w:rsidRDefault="0096661C" w:rsidP="004C7140">
            <w:pPr>
              <w:numPr>
                <w:ilvl w:val="0"/>
                <w:numId w:val="1"/>
              </w:numPr>
              <w:autoSpaceDE w:val="0"/>
              <w:autoSpaceDN w:val="0"/>
              <w:adjustRightInd w:val="0"/>
              <w:spacing w:before="40" w:after="40"/>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 xml:space="preserve">Completed FRACP exams and undertaken some advanced training in </w:t>
            </w:r>
            <w:proofErr w:type="spellStart"/>
            <w:r w:rsidRPr="0096661C">
              <w:rPr>
                <w:rFonts w:asciiTheme="minorHAnsi" w:hAnsiTheme="minorHAnsi" w:cstheme="minorHAnsi"/>
                <w:bCs/>
                <w:color w:val="485560"/>
                <w:sz w:val="18"/>
                <w:szCs w:val="18"/>
                <w:lang w:val="en-US"/>
              </w:rPr>
              <w:t>paediatric</w:t>
            </w:r>
            <w:proofErr w:type="spellEnd"/>
            <w:r w:rsidRPr="0096661C">
              <w:rPr>
                <w:rFonts w:asciiTheme="minorHAnsi" w:hAnsiTheme="minorHAnsi" w:cstheme="minorHAnsi"/>
                <w:bCs/>
                <w:color w:val="485560"/>
                <w:sz w:val="18"/>
                <w:szCs w:val="18"/>
                <w:lang w:val="en-US"/>
              </w:rPr>
              <w:t xml:space="preserve"> medicine</w:t>
            </w:r>
          </w:p>
        </w:tc>
      </w:tr>
    </w:tbl>
    <w:p w14:paraId="25BED9A6" w14:textId="77777777" w:rsidR="007D67D9" w:rsidRPr="0096661C" w:rsidRDefault="007D67D9" w:rsidP="002D3166">
      <w:pPr>
        <w:rPr>
          <w:rFonts w:asciiTheme="minorHAnsi" w:hAnsiTheme="minorHAnsi" w:cstheme="minorHAnsi"/>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96661C" w14:paraId="3E4E8B5C" w14:textId="77777777" w:rsidTr="00694998">
        <w:tc>
          <w:tcPr>
            <w:tcW w:w="10031" w:type="dxa"/>
            <w:shd w:val="clear" w:color="auto" w:fill="D9D9D9"/>
          </w:tcPr>
          <w:p w14:paraId="7B5D1DD6"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KEY SELECTION CRITERIA</w:t>
            </w:r>
          </w:p>
        </w:tc>
      </w:tr>
      <w:tr w:rsidR="007D67D9" w:rsidRPr="0096661C" w14:paraId="447E920B" w14:textId="77777777" w:rsidTr="00694998">
        <w:tc>
          <w:tcPr>
            <w:tcW w:w="10031" w:type="dxa"/>
          </w:tcPr>
          <w:p w14:paraId="4D244180" w14:textId="50296670"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VFPMS Fellow positions will be offered for a period between February 202</w:t>
            </w:r>
            <w:r w:rsidR="00E55A61">
              <w:rPr>
                <w:rFonts w:asciiTheme="minorHAnsi" w:hAnsiTheme="minorHAnsi" w:cstheme="minorHAnsi"/>
                <w:bCs/>
                <w:color w:val="485560"/>
                <w:sz w:val="18"/>
                <w:szCs w:val="18"/>
                <w:lang w:val="en-US"/>
              </w:rPr>
              <w:t>6</w:t>
            </w:r>
            <w:r w:rsidRPr="0096661C">
              <w:rPr>
                <w:rFonts w:asciiTheme="minorHAnsi" w:hAnsiTheme="minorHAnsi" w:cstheme="minorHAnsi"/>
                <w:bCs/>
                <w:color w:val="485560"/>
                <w:sz w:val="18"/>
                <w:szCs w:val="18"/>
                <w:lang w:val="en-US"/>
              </w:rPr>
              <w:t xml:space="preserve"> and February 202</w:t>
            </w:r>
            <w:r w:rsidR="00E55A61">
              <w:rPr>
                <w:rFonts w:asciiTheme="minorHAnsi" w:hAnsiTheme="minorHAnsi" w:cstheme="minorHAnsi"/>
                <w:bCs/>
                <w:color w:val="485560"/>
                <w:sz w:val="18"/>
                <w:szCs w:val="18"/>
                <w:lang w:val="en-US"/>
              </w:rPr>
              <w:t>7</w:t>
            </w:r>
            <w:r w:rsidRPr="0096661C">
              <w:rPr>
                <w:rFonts w:asciiTheme="minorHAnsi" w:hAnsiTheme="minorHAnsi" w:cstheme="minorHAnsi"/>
                <w:bCs/>
                <w:color w:val="485560"/>
                <w:sz w:val="18"/>
                <w:szCs w:val="18"/>
                <w:lang w:val="en-US"/>
              </w:rPr>
              <w:t xml:space="preserve"> part time (0.5 EFT)</w:t>
            </w:r>
            <w:r w:rsidR="00E55A61">
              <w:rPr>
                <w:rFonts w:asciiTheme="minorHAnsi" w:hAnsiTheme="minorHAnsi" w:cstheme="minorHAnsi"/>
                <w:bCs/>
                <w:color w:val="485560"/>
                <w:sz w:val="18"/>
                <w:szCs w:val="18"/>
                <w:lang w:val="en-US"/>
              </w:rPr>
              <w:t xml:space="preserve"> each</w:t>
            </w:r>
            <w:r w:rsidRPr="0096661C">
              <w:rPr>
                <w:rFonts w:asciiTheme="minorHAnsi" w:hAnsiTheme="minorHAnsi" w:cstheme="minorHAnsi"/>
                <w:bCs/>
                <w:color w:val="485560"/>
                <w:sz w:val="18"/>
                <w:szCs w:val="18"/>
                <w:lang w:val="en-US"/>
              </w:rPr>
              <w:t xml:space="preserve">. This position provides a great training opportunity for experienced advanced trainees in </w:t>
            </w:r>
            <w:proofErr w:type="spellStart"/>
            <w:r w:rsidRPr="0096661C">
              <w:rPr>
                <w:rFonts w:asciiTheme="minorHAnsi" w:hAnsiTheme="minorHAnsi" w:cstheme="minorHAnsi"/>
                <w:bCs/>
                <w:color w:val="485560"/>
                <w:sz w:val="18"/>
                <w:szCs w:val="18"/>
                <w:lang w:val="en-US"/>
              </w:rPr>
              <w:t>paediatric</w:t>
            </w:r>
            <w:proofErr w:type="spellEnd"/>
            <w:r w:rsidRPr="0096661C">
              <w:rPr>
                <w:rFonts w:asciiTheme="minorHAnsi" w:hAnsiTheme="minorHAnsi" w:cstheme="minorHAnsi"/>
                <w:bCs/>
                <w:color w:val="485560"/>
                <w:sz w:val="18"/>
                <w:szCs w:val="18"/>
                <w:lang w:val="en-US"/>
              </w:rPr>
              <w:t xml:space="preserve"> medicine (junior medical staff) who are considering a career in </w:t>
            </w:r>
            <w:proofErr w:type="spellStart"/>
            <w:r w:rsidRPr="0096661C">
              <w:rPr>
                <w:rFonts w:asciiTheme="minorHAnsi" w:hAnsiTheme="minorHAnsi" w:cstheme="minorHAnsi"/>
                <w:bCs/>
                <w:color w:val="485560"/>
                <w:sz w:val="18"/>
                <w:szCs w:val="18"/>
                <w:lang w:val="en-US"/>
              </w:rPr>
              <w:t>paediatric</w:t>
            </w:r>
            <w:proofErr w:type="spellEnd"/>
            <w:r w:rsidRPr="0096661C">
              <w:rPr>
                <w:rFonts w:asciiTheme="minorHAnsi" w:hAnsiTheme="minorHAnsi" w:cstheme="minorHAnsi"/>
                <w:bCs/>
                <w:color w:val="485560"/>
                <w:sz w:val="18"/>
                <w:szCs w:val="18"/>
                <w:lang w:val="en-US"/>
              </w:rPr>
              <w:t xml:space="preserve"> forensic medicine, general </w:t>
            </w:r>
            <w:proofErr w:type="spellStart"/>
            <w:r w:rsidRPr="0096661C">
              <w:rPr>
                <w:rFonts w:asciiTheme="minorHAnsi" w:hAnsiTheme="minorHAnsi" w:cstheme="minorHAnsi"/>
                <w:bCs/>
                <w:color w:val="485560"/>
                <w:sz w:val="18"/>
                <w:szCs w:val="18"/>
                <w:lang w:val="en-US"/>
              </w:rPr>
              <w:t>paediatric</w:t>
            </w:r>
            <w:proofErr w:type="spellEnd"/>
            <w:r w:rsidRPr="0096661C">
              <w:rPr>
                <w:rFonts w:asciiTheme="minorHAnsi" w:hAnsiTheme="minorHAnsi" w:cstheme="minorHAnsi"/>
                <w:bCs/>
                <w:color w:val="485560"/>
                <w:sz w:val="18"/>
                <w:szCs w:val="18"/>
                <w:lang w:val="en-US"/>
              </w:rPr>
              <w:t xml:space="preserve"> practice, especially in regional areas, and Community Child Health. A </w:t>
            </w:r>
            <w:proofErr w:type="gramStart"/>
            <w:r w:rsidRPr="0096661C">
              <w:rPr>
                <w:rFonts w:asciiTheme="minorHAnsi" w:hAnsiTheme="minorHAnsi" w:cstheme="minorHAnsi"/>
                <w:bCs/>
                <w:color w:val="485560"/>
                <w:sz w:val="18"/>
                <w:szCs w:val="18"/>
                <w:lang w:val="en-US"/>
              </w:rPr>
              <w:t>full time</w:t>
            </w:r>
            <w:proofErr w:type="gramEnd"/>
            <w:r w:rsidRPr="0096661C">
              <w:rPr>
                <w:rFonts w:asciiTheme="minorHAnsi" w:hAnsiTheme="minorHAnsi" w:cstheme="minorHAnsi"/>
                <w:bCs/>
                <w:color w:val="485560"/>
                <w:sz w:val="18"/>
                <w:szCs w:val="18"/>
                <w:lang w:val="en-US"/>
              </w:rPr>
              <w:t xml:space="preserve"> position may be considered for an exceptional applicant who is currently planning a career in </w:t>
            </w:r>
            <w:proofErr w:type="spellStart"/>
            <w:r w:rsidRPr="0096661C">
              <w:rPr>
                <w:rFonts w:asciiTheme="minorHAnsi" w:hAnsiTheme="minorHAnsi" w:cstheme="minorHAnsi"/>
                <w:bCs/>
                <w:color w:val="485560"/>
                <w:sz w:val="18"/>
                <w:szCs w:val="18"/>
                <w:lang w:val="en-US"/>
              </w:rPr>
              <w:t>paediatric</w:t>
            </w:r>
            <w:proofErr w:type="spellEnd"/>
            <w:r w:rsidRPr="0096661C">
              <w:rPr>
                <w:rFonts w:asciiTheme="minorHAnsi" w:hAnsiTheme="minorHAnsi" w:cstheme="minorHAnsi"/>
                <w:bCs/>
                <w:color w:val="485560"/>
                <w:sz w:val="18"/>
                <w:szCs w:val="18"/>
                <w:lang w:val="en-US"/>
              </w:rPr>
              <w:t xml:space="preserve"> forensic medicine.</w:t>
            </w:r>
          </w:p>
          <w:p w14:paraId="4E644A92" w14:textId="77777777" w:rsidR="0096661C" w:rsidRPr="0096661C" w:rsidRDefault="0096661C" w:rsidP="0096661C">
            <w:pPr>
              <w:autoSpaceDE w:val="0"/>
              <w:autoSpaceDN w:val="0"/>
              <w:adjustRightInd w:val="0"/>
              <w:spacing w:before="40" w:after="40"/>
              <w:rPr>
                <w:rFonts w:asciiTheme="minorHAnsi" w:hAnsiTheme="minorHAnsi" w:cstheme="minorHAnsi"/>
                <w:bCs/>
                <w:color w:val="485560"/>
                <w:sz w:val="18"/>
                <w:szCs w:val="18"/>
                <w:lang w:val="en-US"/>
              </w:rPr>
            </w:pPr>
          </w:p>
          <w:p w14:paraId="75BE3AD1" w14:textId="2A2451D6" w:rsidR="0096661C" w:rsidRPr="0096661C" w:rsidRDefault="0096661C" w:rsidP="0096661C">
            <w:pPr>
              <w:autoSpaceDE w:val="0"/>
              <w:autoSpaceDN w:val="0"/>
              <w:adjustRightInd w:val="0"/>
              <w:spacing w:before="40" w:after="40"/>
              <w:rPr>
                <w:rFonts w:asciiTheme="minorHAnsi" w:hAnsiTheme="minorHAnsi" w:cstheme="minorHAnsi"/>
                <w:b/>
                <w:bCs/>
                <w:color w:val="485560"/>
                <w:sz w:val="18"/>
                <w:szCs w:val="18"/>
                <w:lang w:val="en-US"/>
              </w:rPr>
            </w:pPr>
            <w:r w:rsidRPr="0096661C">
              <w:rPr>
                <w:rFonts w:asciiTheme="minorHAnsi" w:hAnsiTheme="minorHAnsi" w:cstheme="minorHAnsi"/>
                <w:b/>
                <w:bCs/>
                <w:color w:val="485560"/>
                <w:sz w:val="18"/>
                <w:szCs w:val="18"/>
                <w:lang w:val="en-US"/>
              </w:rPr>
              <w:t>Key attributes</w:t>
            </w:r>
          </w:p>
          <w:p w14:paraId="1DE34EED" w14:textId="77777777" w:rsidR="0096661C" w:rsidRPr="0096661C" w:rsidRDefault="0096661C" w:rsidP="0096661C">
            <w:pPr>
              <w:numPr>
                <w:ilvl w:val="0"/>
                <w:numId w:val="6"/>
              </w:numPr>
              <w:autoSpaceDE w:val="0"/>
              <w:autoSpaceDN w:val="0"/>
              <w:adjustRightInd w:val="0"/>
              <w:spacing w:before="40" w:after="40"/>
              <w:jc w:val="both"/>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Open, approachable and accessible</w:t>
            </w:r>
          </w:p>
          <w:p w14:paraId="34579C43" w14:textId="77777777" w:rsidR="0096661C" w:rsidRPr="0096661C" w:rsidRDefault="0096661C" w:rsidP="0096661C">
            <w:pPr>
              <w:numPr>
                <w:ilvl w:val="0"/>
                <w:numId w:val="6"/>
              </w:numPr>
              <w:autoSpaceDE w:val="0"/>
              <w:autoSpaceDN w:val="0"/>
              <w:adjustRightInd w:val="0"/>
              <w:spacing w:before="40" w:after="40"/>
              <w:jc w:val="both"/>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Excellent communication (verbal and written) skills</w:t>
            </w:r>
          </w:p>
          <w:p w14:paraId="201278BB" w14:textId="77777777" w:rsidR="0096661C" w:rsidRPr="0096661C" w:rsidRDefault="0096661C" w:rsidP="0096661C">
            <w:pPr>
              <w:numPr>
                <w:ilvl w:val="0"/>
                <w:numId w:val="6"/>
              </w:numPr>
              <w:autoSpaceDE w:val="0"/>
              <w:autoSpaceDN w:val="0"/>
              <w:adjustRightInd w:val="0"/>
              <w:spacing w:before="40" w:after="40"/>
              <w:jc w:val="both"/>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Demonstrate a commitment to continuous improvement</w:t>
            </w:r>
          </w:p>
          <w:p w14:paraId="7FAE4EDC" w14:textId="77777777" w:rsidR="0096661C" w:rsidRPr="0096661C" w:rsidRDefault="0096661C" w:rsidP="0096661C">
            <w:pPr>
              <w:numPr>
                <w:ilvl w:val="0"/>
                <w:numId w:val="6"/>
              </w:numPr>
              <w:autoSpaceDE w:val="0"/>
              <w:autoSpaceDN w:val="0"/>
              <w:adjustRightInd w:val="0"/>
              <w:spacing w:before="40" w:after="40"/>
              <w:jc w:val="both"/>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Demonstrate a “can do” and flexible approach</w:t>
            </w:r>
          </w:p>
          <w:p w14:paraId="5D143F36" w14:textId="77777777" w:rsidR="0096661C" w:rsidRPr="0096661C" w:rsidRDefault="0096661C" w:rsidP="0096661C">
            <w:pPr>
              <w:numPr>
                <w:ilvl w:val="0"/>
                <w:numId w:val="6"/>
              </w:numPr>
              <w:autoSpaceDE w:val="0"/>
              <w:autoSpaceDN w:val="0"/>
              <w:adjustRightInd w:val="0"/>
              <w:spacing w:before="40" w:after="40"/>
              <w:jc w:val="both"/>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 xml:space="preserve">Good time management and </w:t>
            </w:r>
            <w:proofErr w:type="spellStart"/>
            <w:r w:rsidRPr="0096661C">
              <w:rPr>
                <w:rFonts w:asciiTheme="minorHAnsi" w:hAnsiTheme="minorHAnsi" w:cstheme="minorHAnsi"/>
                <w:bCs/>
                <w:color w:val="485560"/>
                <w:sz w:val="18"/>
                <w:szCs w:val="18"/>
                <w:lang w:val="en-US"/>
              </w:rPr>
              <w:t>prioritising</w:t>
            </w:r>
            <w:proofErr w:type="spellEnd"/>
            <w:r w:rsidRPr="0096661C">
              <w:rPr>
                <w:rFonts w:asciiTheme="minorHAnsi" w:hAnsiTheme="minorHAnsi" w:cstheme="minorHAnsi"/>
                <w:bCs/>
                <w:color w:val="485560"/>
                <w:sz w:val="18"/>
                <w:szCs w:val="18"/>
                <w:lang w:val="en-US"/>
              </w:rPr>
              <w:t xml:space="preserve"> skills</w:t>
            </w:r>
          </w:p>
          <w:p w14:paraId="6CC9ED08" w14:textId="77777777" w:rsidR="0096661C" w:rsidRPr="0096661C" w:rsidRDefault="0096661C" w:rsidP="0096661C">
            <w:pPr>
              <w:numPr>
                <w:ilvl w:val="0"/>
                <w:numId w:val="6"/>
              </w:numPr>
              <w:autoSpaceDE w:val="0"/>
              <w:autoSpaceDN w:val="0"/>
              <w:adjustRightInd w:val="0"/>
              <w:spacing w:before="40" w:after="40"/>
              <w:jc w:val="both"/>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Ability to balance competing demands and conflicting priorities</w:t>
            </w:r>
          </w:p>
          <w:p w14:paraId="199733C2" w14:textId="77777777" w:rsidR="0096661C" w:rsidRPr="0096661C" w:rsidRDefault="0096661C" w:rsidP="0096661C">
            <w:pPr>
              <w:numPr>
                <w:ilvl w:val="0"/>
                <w:numId w:val="6"/>
              </w:numPr>
              <w:autoSpaceDE w:val="0"/>
              <w:autoSpaceDN w:val="0"/>
              <w:adjustRightInd w:val="0"/>
              <w:spacing w:before="40" w:after="40"/>
              <w:jc w:val="both"/>
              <w:rPr>
                <w:rFonts w:asciiTheme="minorHAnsi" w:hAnsiTheme="minorHAnsi" w:cstheme="minorHAnsi"/>
                <w:bCs/>
                <w:color w:val="485560"/>
                <w:sz w:val="18"/>
                <w:szCs w:val="18"/>
                <w:lang w:val="en-US"/>
              </w:rPr>
            </w:pPr>
            <w:r w:rsidRPr="0096661C">
              <w:rPr>
                <w:rFonts w:asciiTheme="minorHAnsi" w:hAnsiTheme="minorHAnsi" w:cstheme="minorHAnsi"/>
                <w:bCs/>
                <w:color w:val="485560"/>
                <w:sz w:val="18"/>
                <w:szCs w:val="18"/>
                <w:lang w:val="en-US"/>
              </w:rPr>
              <w:t>Demonstrate well-developed interpersonal skills and the ability to engage groups of people with differing perspectives</w:t>
            </w:r>
          </w:p>
          <w:p w14:paraId="054BB580" w14:textId="32785366" w:rsidR="007D67D9" w:rsidRPr="0096661C" w:rsidRDefault="007D67D9" w:rsidP="0096661C">
            <w:pPr>
              <w:autoSpaceDE w:val="0"/>
              <w:autoSpaceDN w:val="0"/>
              <w:adjustRightInd w:val="0"/>
              <w:spacing w:before="40" w:after="40"/>
              <w:ind w:left="357"/>
              <w:rPr>
                <w:rFonts w:asciiTheme="minorHAnsi" w:hAnsiTheme="minorHAnsi" w:cstheme="minorHAnsi"/>
                <w:bCs/>
                <w:sz w:val="18"/>
                <w:szCs w:val="18"/>
              </w:rPr>
            </w:pPr>
          </w:p>
        </w:tc>
      </w:tr>
    </w:tbl>
    <w:p w14:paraId="46B57FB8" w14:textId="398474BF" w:rsidR="007D67D9" w:rsidRPr="0096661C" w:rsidRDefault="007D67D9" w:rsidP="002D3166">
      <w:pPr>
        <w:rPr>
          <w:rFonts w:asciiTheme="minorHAnsi" w:hAnsiTheme="minorHAnsi" w:cstheme="minorHAnsi"/>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96661C" w14:paraId="0F346E50" w14:textId="77777777" w:rsidTr="00ED0974">
        <w:tc>
          <w:tcPr>
            <w:tcW w:w="10031" w:type="dxa"/>
            <w:shd w:val="clear" w:color="auto" w:fill="D9D9D9"/>
          </w:tcPr>
          <w:p w14:paraId="6A10525B" w14:textId="09A0084E" w:rsidR="00024C42" w:rsidRPr="0096661C" w:rsidRDefault="00024C42" w:rsidP="00ED0974">
            <w:pPr>
              <w:spacing w:before="60" w:after="60"/>
              <w:rPr>
                <w:rFonts w:asciiTheme="minorHAnsi" w:hAnsiTheme="minorHAnsi" w:cstheme="minorHAnsi"/>
                <w:b/>
                <w:sz w:val="18"/>
                <w:szCs w:val="18"/>
              </w:rPr>
            </w:pPr>
            <w:r w:rsidRPr="0096661C">
              <w:rPr>
                <w:rFonts w:asciiTheme="minorHAnsi" w:hAnsiTheme="minorHAnsi" w:cstheme="minorHAnsi"/>
                <w:b/>
                <w:sz w:val="18"/>
                <w:szCs w:val="18"/>
              </w:rPr>
              <w:t>OTHER REQUIREMENTS</w:t>
            </w:r>
          </w:p>
        </w:tc>
      </w:tr>
      <w:tr w:rsidR="00024C42" w:rsidRPr="0096661C" w14:paraId="77F518BF" w14:textId="77777777" w:rsidTr="00ED0974">
        <w:tc>
          <w:tcPr>
            <w:tcW w:w="10031" w:type="dxa"/>
          </w:tcPr>
          <w:p w14:paraId="4D3F2586" w14:textId="77777777" w:rsidR="00024C42" w:rsidRPr="0096661C" w:rsidRDefault="00024C42" w:rsidP="00024C42">
            <w:pPr>
              <w:numPr>
                <w:ilvl w:val="0"/>
                <w:numId w:val="4"/>
              </w:numPr>
              <w:spacing w:before="40" w:after="40"/>
              <w:jc w:val="both"/>
              <w:rPr>
                <w:rFonts w:asciiTheme="minorHAnsi" w:hAnsiTheme="minorHAnsi" w:cstheme="minorHAnsi"/>
                <w:sz w:val="18"/>
                <w:szCs w:val="18"/>
              </w:rPr>
            </w:pPr>
            <w:r w:rsidRPr="0096661C">
              <w:rPr>
                <w:rFonts w:asciiTheme="minorHAnsi" w:hAnsiTheme="minorHAnsi" w:cstheme="minorHAnsi"/>
                <w:sz w:val="18"/>
                <w:szCs w:val="18"/>
              </w:rPr>
              <w:t>Employees are required to undertake a National Criminal Record Check and a Working with Children Check prior to commencing employment</w:t>
            </w:r>
          </w:p>
          <w:p w14:paraId="0A8F6EE2" w14:textId="2B42A9C9" w:rsidR="00024C42" w:rsidRPr="0096661C" w:rsidRDefault="00024C42" w:rsidP="00024C42">
            <w:pPr>
              <w:numPr>
                <w:ilvl w:val="0"/>
                <w:numId w:val="4"/>
              </w:numPr>
              <w:spacing w:before="40" w:after="40"/>
              <w:jc w:val="both"/>
              <w:rPr>
                <w:rFonts w:asciiTheme="minorHAnsi" w:hAnsiTheme="minorHAnsi" w:cstheme="minorHAnsi"/>
                <w:sz w:val="18"/>
                <w:szCs w:val="18"/>
              </w:rPr>
            </w:pPr>
            <w:r w:rsidRPr="0096661C">
              <w:rPr>
                <w:rFonts w:asciiTheme="minorHAnsi" w:hAnsiTheme="minorHAnsi" w:cstheme="minorHAnsi"/>
                <w:sz w:val="18"/>
                <w:szCs w:val="18"/>
              </w:rPr>
              <w:t>Employees are required to maintain a valid Working with Children Check throughout their employment</w:t>
            </w:r>
          </w:p>
          <w:p w14:paraId="3B9D887A" w14:textId="0D20F7A0" w:rsidR="00024C42" w:rsidRPr="0096661C" w:rsidRDefault="00024C42" w:rsidP="00024C42">
            <w:pPr>
              <w:numPr>
                <w:ilvl w:val="0"/>
                <w:numId w:val="4"/>
              </w:numPr>
              <w:spacing w:before="40" w:after="40"/>
              <w:jc w:val="both"/>
              <w:rPr>
                <w:rFonts w:asciiTheme="minorHAnsi" w:hAnsiTheme="minorHAnsi" w:cstheme="minorHAnsi"/>
                <w:sz w:val="18"/>
                <w:szCs w:val="18"/>
              </w:rPr>
            </w:pPr>
            <w:r w:rsidRPr="0096661C">
              <w:rPr>
                <w:rFonts w:asciiTheme="minorHAnsi" w:hAnsiTheme="minorHAnsi" w:cstheme="minorHAnsi"/>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96661C" w:rsidRDefault="00024C42" w:rsidP="00024C42">
            <w:pPr>
              <w:numPr>
                <w:ilvl w:val="0"/>
                <w:numId w:val="4"/>
              </w:numPr>
              <w:autoSpaceDE w:val="0"/>
              <w:autoSpaceDN w:val="0"/>
              <w:adjustRightInd w:val="0"/>
              <w:spacing w:before="40" w:after="40"/>
              <w:rPr>
                <w:rFonts w:asciiTheme="minorHAnsi" w:hAnsiTheme="minorHAnsi" w:cstheme="minorHAnsi"/>
                <w:bCs/>
                <w:sz w:val="18"/>
                <w:szCs w:val="18"/>
              </w:rPr>
            </w:pPr>
            <w:r w:rsidRPr="0096661C">
              <w:rPr>
                <w:rFonts w:asciiTheme="minorHAnsi" w:hAnsiTheme="minorHAnsi" w:cstheme="minorHAnsi"/>
                <w:sz w:val="18"/>
                <w:szCs w:val="18"/>
              </w:rPr>
              <w:t>Employees are required to maintain compliance with RCHs “Staff Immunisation - Prevention of Vaccine Preventable Diseases” procedure.</w:t>
            </w:r>
          </w:p>
        </w:tc>
      </w:tr>
    </w:tbl>
    <w:p w14:paraId="297F931D" w14:textId="1E3B7D34" w:rsidR="00024C42" w:rsidRPr="0096661C" w:rsidRDefault="00024C42" w:rsidP="002D3166">
      <w:pPr>
        <w:rPr>
          <w:rFonts w:asciiTheme="minorHAnsi" w:hAnsiTheme="minorHAnsi" w:cstheme="minorHAnsi"/>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96661C" w14:paraId="5988882D" w14:textId="77777777" w:rsidTr="00694998">
        <w:tc>
          <w:tcPr>
            <w:tcW w:w="10031" w:type="dxa"/>
            <w:shd w:val="clear" w:color="auto" w:fill="D9D9D9"/>
          </w:tcPr>
          <w:p w14:paraId="40E2D816"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t>IMPORTANT INFORMATION</w:t>
            </w:r>
          </w:p>
        </w:tc>
      </w:tr>
      <w:tr w:rsidR="007D67D9" w:rsidRPr="0096661C" w14:paraId="734017CB" w14:textId="77777777" w:rsidTr="00694998">
        <w:tc>
          <w:tcPr>
            <w:tcW w:w="10031" w:type="dxa"/>
          </w:tcPr>
          <w:p w14:paraId="03136F10" w14:textId="77777777" w:rsidR="006E2EA3" w:rsidRPr="0096661C" w:rsidRDefault="006E2EA3" w:rsidP="006E2EA3">
            <w:pPr>
              <w:spacing w:before="40" w:after="40"/>
              <w:rPr>
                <w:rFonts w:asciiTheme="minorHAnsi" w:hAnsiTheme="minorHAnsi" w:cstheme="minorHAnsi"/>
                <w:sz w:val="18"/>
                <w:szCs w:val="18"/>
              </w:rPr>
            </w:pPr>
            <w:r w:rsidRPr="0096661C">
              <w:rPr>
                <w:rFonts w:asciiTheme="minorHAnsi" w:hAnsiTheme="minorHAnsi" w:cstheme="minorHAnsi"/>
                <w:sz w:val="18"/>
                <w:szCs w:val="18"/>
              </w:rPr>
              <w:t>All employees are required to adhere to the Royal Children’s Hospital Values:</w:t>
            </w:r>
          </w:p>
          <w:p w14:paraId="1B985C8E" w14:textId="77777777" w:rsidR="006E2EA3" w:rsidRPr="0096661C" w:rsidRDefault="006E2EA3" w:rsidP="006E2EA3">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Curious - We are creative, playful and collaborative</w:t>
            </w:r>
          </w:p>
          <w:p w14:paraId="3F237FB7" w14:textId="77777777" w:rsidR="006E2EA3" w:rsidRPr="0096661C" w:rsidRDefault="006E2EA3" w:rsidP="006E2EA3">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Courageous - We pursue our goals with determination, ambition and confidence</w:t>
            </w:r>
          </w:p>
          <w:p w14:paraId="4FE76EF0" w14:textId="77777777" w:rsidR="006E2EA3" w:rsidRPr="0096661C" w:rsidRDefault="006E2EA3" w:rsidP="006E2EA3">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Inclusive - We embrace diversity, communicate well, build connections and celebrate our successes together</w:t>
            </w:r>
          </w:p>
          <w:p w14:paraId="7C97D6C2" w14:textId="77777777" w:rsidR="006E2EA3" w:rsidRPr="0096661C" w:rsidRDefault="006E2EA3" w:rsidP="006E2EA3">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Kind - We are generous, warm and understanding</w:t>
            </w:r>
          </w:p>
          <w:p w14:paraId="21E9FF4D" w14:textId="77777777" w:rsidR="007D67D9" w:rsidRPr="0096661C" w:rsidRDefault="007D67D9" w:rsidP="00694998">
            <w:pPr>
              <w:spacing w:before="240" w:after="40"/>
              <w:rPr>
                <w:rFonts w:asciiTheme="minorHAnsi" w:hAnsiTheme="minorHAnsi" w:cstheme="minorHAnsi"/>
                <w:b/>
                <w:bCs/>
                <w:sz w:val="18"/>
                <w:szCs w:val="18"/>
              </w:rPr>
            </w:pPr>
            <w:r w:rsidRPr="0096661C">
              <w:rPr>
                <w:rFonts w:asciiTheme="minorHAnsi" w:hAnsiTheme="minorHAnsi" w:cstheme="minorHAnsi"/>
                <w:b/>
                <w:bCs/>
                <w:sz w:val="18"/>
                <w:szCs w:val="18"/>
              </w:rPr>
              <w:t>RCH COMPACT</w:t>
            </w:r>
          </w:p>
          <w:p w14:paraId="28F3F44E" w14:textId="77777777" w:rsidR="007D67D9" w:rsidRPr="0096661C" w:rsidRDefault="007D67D9" w:rsidP="00694998">
            <w:pPr>
              <w:spacing w:before="40" w:after="40"/>
              <w:rPr>
                <w:rFonts w:asciiTheme="minorHAnsi" w:hAnsiTheme="minorHAnsi" w:cstheme="minorHAnsi"/>
                <w:b/>
                <w:bCs/>
                <w:sz w:val="18"/>
                <w:szCs w:val="18"/>
              </w:rPr>
            </w:pPr>
            <w:r w:rsidRPr="0096661C">
              <w:rPr>
                <w:rFonts w:asciiTheme="minorHAnsi" w:hAnsiTheme="minorHAnsi" w:cstheme="minorHAnsi"/>
                <w:sz w:val="18"/>
                <w:szCs w:val="18"/>
                <w:lang w:eastAsia="en-AU"/>
              </w:rPr>
              <w:t>All new and existing employees commit to the RCH Compact to contribute to a strong and respectful culture.</w:t>
            </w:r>
          </w:p>
          <w:p w14:paraId="31F02B2E"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We do better work caring for children and families when we also care for each other</w:t>
            </w:r>
          </w:p>
          <w:p w14:paraId="65B54B31"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bring a positive attitude to work – I share, I laugh, I enjoy other’s company</w:t>
            </w:r>
          </w:p>
          <w:p w14:paraId="77127B94"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take responsibility for my behaviour and its impact on others</w:t>
            </w:r>
          </w:p>
          <w:p w14:paraId="1B1BC25F"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am curious and seek out ways to constantly learn and improve</w:t>
            </w:r>
          </w:p>
          <w:p w14:paraId="12FC75AE"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celebrate the good stuff, the small stuff, the big stuff – it all matters</w:t>
            </w:r>
          </w:p>
          <w:p w14:paraId="7A3B4C67"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speak up when things aren’t right</w:t>
            </w:r>
          </w:p>
          <w:p w14:paraId="4FEF1476"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value the many different roles it takes to deliver great patient care</w:t>
            </w:r>
          </w:p>
          <w:p w14:paraId="21F0D540"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actively listen because I want to understand others and make better decisions</w:t>
            </w:r>
          </w:p>
          <w:p w14:paraId="2F31BEAF"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I am inclusive and value diversity</w:t>
            </w:r>
          </w:p>
          <w:p w14:paraId="226D0F86"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When it comes to teamwork, I don’t hold back – I’m all in</w:t>
            </w:r>
          </w:p>
          <w:p w14:paraId="4CF95A40" w14:textId="77777777" w:rsidR="007D67D9" w:rsidRPr="0096661C" w:rsidRDefault="007D67D9" w:rsidP="00694998">
            <w:pPr>
              <w:rPr>
                <w:rFonts w:asciiTheme="minorHAnsi" w:hAnsiTheme="minorHAnsi" w:cstheme="minorHAnsi"/>
                <w:sz w:val="18"/>
                <w:szCs w:val="18"/>
              </w:rPr>
            </w:pPr>
          </w:p>
          <w:p w14:paraId="15082989" w14:textId="77777777" w:rsidR="007D67D9" w:rsidRPr="0096661C" w:rsidRDefault="007D67D9" w:rsidP="00694998">
            <w:pPr>
              <w:spacing w:before="40" w:after="40"/>
              <w:rPr>
                <w:rFonts w:asciiTheme="minorHAnsi" w:hAnsiTheme="minorHAnsi" w:cstheme="minorHAnsi"/>
                <w:b/>
                <w:bCs/>
                <w:sz w:val="18"/>
                <w:szCs w:val="18"/>
              </w:rPr>
            </w:pPr>
            <w:r w:rsidRPr="0096661C">
              <w:rPr>
                <w:rFonts w:asciiTheme="minorHAnsi" w:hAnsiTheme="minorHAnsi" w:cstheme="minorHAnsi"/>
                <w:b/>
                <w:bCs/>
                <w:sz w:val="18"/>
                <w:szCs w:val="18"/>
              </w:rPr>
              <w:t xml:space="preserve">QUALITY, SAFETY AND IMPROVEMENT </w:t>
            </w:r>
          </w:p>
          <w:p w14:paraId="752E2FE7" w14:textId="77777777" w:rsidR="007D67D9" w:rsidRPr="0096661C" w:rsidRDefault="007D67D9" w:rsidP="00694998">
            <w:pPr>
              <w:spacing w:before="40" w:after="40"/>
              <w:rPr>
                <w:rFonts w:asciiTheme="minorHAnsi" w:hAnsiTheme="minorHAnsi" w:cstheme="minorHAnsi"/>
                <w:sz w:val="18"/>
                <w:szCs w:val="18"/>
              </w:rPr>
            </w:pPr>
            <w:r w:rsidRPr="0096661C">
              <w:rPr>
                <w:rFonts w:asciiTheme="minorHAnsi" w:hAnsiTheme="minorHAnsi" w:cstheme="minorHAnsi"/>
                <w:sz w:val="18"/>
                <w:szCs w:val="18"/>
              </w:rPr>
              <w:t xml:space="preserve">RCH employees have a responsibility and accountability to contribute to the organisation’s commitment to Quality, Safety and Improvement by:  </w:t>
            </w:r>
          </w:p>
          <w:p w14:paraId="07F0A789"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Acting in accordance and complying with all relevant Safety and Quality policies and procedures</w:t>
            </w:r>
          </w:p>
          <w:p w14:paraId="3657D490"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 xml:space="preserve">Identifying risks, reporting and being actively involved in risk mitigation strategies </w:t>
            </w:r>
          </w:p>
          <w:p w14:paraId="62826F14"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Participating in and actively contributing to quality improvement programs</w:t>
            </w:r>
          </w:p>
          <w:p w14:paraId="40EC3924"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 xml:space="preserve">Complying with the requirements of the National Safety &amp; Quality Health Service Standards </w:t>
            </w:r>
          </w:p>
          <w:p w14:paraId="415902FA"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 xml:space="preserve">Complying with all relevant clinical and/or competency standards </w:t>
            </w:r>
          </w:p>
          <w:p w14:paraId="0ED4160D" w14:textId="77777777" w:rsidR="007D67D9" w:rsidRPr="0096661C" w:rsidRDefault="007D67D9" w:rsidP="007D67D9">
            <w:pPr>
              <w:numPr>
                <w:ilvl w:val="0"/>
                <w:numId w:val="2"/>
              </w:numPr>
              <w:tabs>
                <w:tab w:val="clear" w:pos="3645"/>
                <w:tab w:val="num" w:pos="330"/>
              </w:tabs>
              <w:spacing w:before="40" w:after="40"/>
              <w:ind w:left="330" w:hanging="330"/>
              <w:rPr>
                <w:rFonts w:asciiTheme="minorHAnsi" w:hAnsiTheme="minorHAnsi" w:cstheme="minorHAnsi"/>
                <w:sz w:val="18"/>
                <w:szCs w:val="18"/>
              </w:rPr>
            </w:pPr>
            <w:r w:rsidRPr="0096661C">
              <w:rPr>
                <w:rFonts w:asciiTheme="minorHAnsi" w:hAnsiTheme="minorHAnsi" w:cstheme="minorHAnsi"/>
                <w:sz w:val="18"/>
                <w:szCs w:val="18"/>
              </w:rPr>
              <w:t>Complying with the principles of Patient and Family Centred Care that relate to this position</w:t>
            </w:r>
          </w:p>
          <w:p w14:paraId="795EB368" w14:textId="77777777" w:rsidR="007D67D9" w:rsidRPr="0096661C" w:rsidRDefault="007D67D9" w:rsidP="00694998">
            <w:pPr>
              <w:spacing w:before="40" w:after="40"/>
              <w:ind w:left="330"/>
              <w:rPr>
                <w:rFonts w:asciiTheme="minorHAnsi" w:hAnsiTheme="minorHAnsi" w:cstheme="minorHAnsi"/>
                <w:sz w:val="18"/>
                <w:szCs w:val="18"/>
              </w:rPr>
            </w:pPr>
          </w:p>
          <w:p w14:paraId="41158FF2" w14:textId="4C9EF55D" w:rsidR="007D67D9" w:rsidRPr="0096661C" w:rsidRDefault="00325E43" w:rsidP="00325E43">
            <w:pPr>
              <w:rPr>
                <w:rFonts w:asciiTheme="minorHAnsi" w:hAnsiTheme="minorHAnsi" w:cstheme="minorHAnsi"/>
                <w:b/>
                <w:bCs/>
                <w:sz w:val="18"/>
                <w:szCs w:val="18"/>
              </w:rPr>
            </w:pPr>
            <w:r w:rsidRPr="0096661C">
              <w:rPr>
                <w:rFonts w:asciiTheme="minorHAnsi" w:hAnsiTheme="minorHAnsi" w:cstheme="minorHAnsi"/>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96661C" w:rsidRDefault="007D67D9" w:rsidP="002D3166">
      <w:pPr>
        <w:rPr>
          <w:rFonts w:asciiTheme="minorHAnsi" w:hAnsiTheme="minorHAnsi" w:cstheme="minorHAnsi"/>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96661C" w14:paraId="5C8670A9" w14:textId="77777777" w:rsidTr="00694998">
        <w:tc>
          <w:tcPr>
            <w:tcW w:w="3794" w:type="dxa"/>
            <w:shd w:val="clear" w:color="auto" w:fill="D9D9D9"/>
          </w:tcPr>
          <w:p w14:paraId="697A4008" w14:textId="77777777" w:rsidR="007D67D9" w:rsidRPr="0096661C" w:rsidRDefault="007D67D9" w:rsidP="00694998">
            <w:pPr>
              <w:spacing w:before="60" w:after="60"/>
              <w:rPr>
                <w:rFonts w:asciiTheme="minorHAnsi" w:hAnsiTheme="minorHAnsi" w:cstheme="minorHAnsi"/>
                <w:b/>
                <w:sz w:val="18"/>
                <w:szCs w:val="18"/>
              </w:rPr>
            </w:pPr>
            <w:r w:rsidRPr="0096661C">
              <w:rPr>
                <w:rFonts w:asciiTheme="minorHAnsi" w:hAnsiTheme="minorHAnsi" w:cstheme="minorHAnsi"/>
                <w:b/>
                <w:sz w:val="18"/>
                <w:szCs w:val="18"/>
              </w:rPr>
              <w:lastRenderedPageBreak/>
              <w:t>Position description last updated</w:t>
            </w:r>
          </w:p>
        </w:tc>
        <w:tc>
          <w:tcPr>
            <w:tcW w:w="6237" w:type="dxa"/>
            <w:shd w:val="clear" w:color="auto" w:fill="auto"/>
          </w:tcPr>
          <w:p w14:paraId="11F76FBD" w14:textId="10F5C565" w:rsidR="007D67D9" w:rsidRPr="0096661C" w:rsidRDefault="00E55A61" w:rsidP="00694998">
            <w:pPr>
              <w:spacing w:before="60" w:after="60"/>
              <w:rPr>
                <w:rFonts w:asciiTheme="minorHAnsi" w:hAnsiTheme="minorHAnsi" w:cstheme="minorHAnsi"/>
                <w:b/>
                <w:sz w:val="18"/>
                <w:szCs w:val="18"/>
              </w:rPr>
            </w:pPr>
            <w:r>
              <w:rPr>
                <w:rFonts w:asciiTheme="minorHAnsi" w:hAnsiTheme="minorHAnsi" w:cstheme="minorHAnsi"/>
                <w:b/>
                <w:sz w:val="18"/>
                <w:szCs w:val="18"/>
              </w:rPr>
              <w:t>June 2025</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6A8D" w14:textId="77777777" w:rsidR="00A172A3" w:rsidRDefault="00A172A3" w:rsidP="00225B2F">
      <w:r>
        <w:separator/>
      </w:r>
    </w:p>
  </w:endnote>
  <w:endnote w:type="continuationSeparator" w:id="0">
    <w:p w14:paraId="093C0C3A" w14:textId="77777777" w:rsidR="00A172A3" w:rsidRDefault="00A172A3"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89F35" w14:textId="77777777" w:rsidR="00A172A3" w:rsidRDefault="00A172A3" w:rsidP="00225B2F">
      <w:r>
        <w:separator/>
      </w:r>
    </w:p>
  </w:footnote>
  <w:footnote w:type="continuationSeparator" w:id="0">
    <w:p w14:paraId="015A8F66" w14:textId="77777777" w:rsidR="00A172A3" w:rsidRDefault="00A172A3"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744A" w14:textId="77777777" w:rsidR="00A172A3" w:rsidRDefault="00A172A3">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32C6" w14:textId="03F47A5C" w:rsidR="00A172A3" w:rsidRDefault="00A172A3"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54623"/>
    <w:multiLevelType w:val="hybridMultilevel"/>
    <w:tmpl w:val="DA14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7D5704"/>
    <w:multiLevelType w:val="hybridMultilevel"/>
    <w:tmpl w:val="E5E2B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70084A"/>
    <w:multiLevelType w:val="hybridMultilevel"/>
    <w:tmpl w:val="4832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8935852">
    <w:abstractNumId w:val="3"/>
  </w:num>
  <w:num w:numId="2" w16cid:durableId="1460143829">
    <w:abstractNumId w:val="2"/>
  </w:num>
  <w:num w:numId="3" w16cid:durableId="1807624775">
    <w:abstractNumId w:val="4"/>
  </w:num>
  <w:num w:numId="4" w16cid:durableId="1195071896">
    <w:abstractNumId w:val="1"/>
  </w:num>
  <w:num w:numId="5" w16cid:durableId="1173180118">
    <w:abstractNumId w:val="5"/>
  </w:num>
  <w:num w:numId="6" w16cid:durableId="856429330">
    <w:abstractNumId w:val="6"/>
  </w:num>
  <w:num w:numId="7" w16cid:durableId="159347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475B7"/>
    <w:rsid w:val="00073CBD"/>
    <w:rsid w:val="000832DB"/>
    <w:rsid w:val="000E334B"/>
    <w:rsid w:val="00147805"/>
    <w:rsid w:val="001604EF"/>
    <w:rsid w:val="001A561A"/>
    <w:rsid w:val="001B6F58"/>
    <w:rsid w:val="001D193A"/>
    <w:rsid w:val="001E0B98"/>
    <w:rsid w:val="00225B2F"/>
    <w:rsid w:val="00231B13"/>
    <w:rsid w:val="00261817"/>
    <w:rsid w:val="0027661D"/>
    <w:rsid w:val="002844E2"/>
    <w:rsid w:val="002A3A52"/>
    <w:rsid w:val="002C7C81"/>
    <w:rsid w:val="002D03E7"/>
    <w:rsid w:val="002D3166"/>
    <w:rsid w:val="002F3E95"/>
    <w:rsid w:val="00325E43"/>
    <w:rsid w:val="00334333"/>
    <w:rsid w:val="003C3CA7"/>
    <w:rsid w:val="003C41A8"/>
    <w:rsid w:val="003F2B18"/>
    <w:rsid w:val="00403CC5"/>
    <w:rsid w:val="00442071"/>
    <w:rsid w:val="0045625D"/>
    <w:rsid w:val="004713B3"/>
    <w:rsid w:val="004832F9"/>
    <w:rsid w:val="00487E39"/>
    <w:rsid w:val="004C372C"/>
    <w:rsid w:val="004C7140"/>
    <w:rsid w:val="005321FA"/>
    <w:rsid w:val="005406AD"/>
    <w:rsid w:val="00586E07"/>
    <w:rsid w:val="005B2A20"/>
    <w:rsid w:val="00694998"/>
    <w:rsid w:val="006C25BA"/>
    <w:rsid w:val="006C60C1"/>
    <w:rsid w:val="006E2EA3"/>
    <w:rsid w:val="006F6F93"/>
    <w:rsid w:val="00704E1C"/>
    <w:rsid w:val="007159AE"/>
    <w:rsid w:val="00733283"/>
    <w:rsid w:val="00766192"/>
    <w:rsid w:val="00785B23"/>
    <w:rsid w:val="007A5159"/>
    <w:rsid w:val="007A53F4"/>
    <w:rsid w:val="007D67D9"/>
    <w:rsid w:val="00874905"/>
    <w:rsid w:val="008860C0"/>
    <w:rsid w:val="008B0253"/>
    <w:rsid w:val="008C5EF8"/>
    <w:rsid w:val="00906DF8"/>
    <w:rsid w:val="009458AB"/>
    <w:rsid w:val="00953AC3"/>
    <w:rsid w:val="0096661C"/>
    <w:rsid w:val="00966C62"/>
    <w:rsid w:val="009A0B90"/>
    <w:rsid w:val="009A6DA3"/>
    <w:rsid w:val="009E24EE"/>
    <w:rsid w:val="00A15D13"/>
    <w:rsid w:val="00A172A3"/>
    <w:rsid w:val="00AF1343"/>
    <w:rsid w:val="00B132D9"/>
    <w:rsid w:val="00B17D0A"/>
    <w:rsid w:val="00B31ABC"/>
    <w:rsid w:val="00B37330"/>
    <w:rsid w:val="00B542D6"/>
    <w:rsid w:val="00B84D1A"/>
    <w:rsid w:val="00BA5EAC"/>
    <w:rsid w:val="00BC7AC4"/>
    <w:rsid w:val="00BF2DB7"/>
    <w:rsid w:val="00CD3074"/>
    <w:rsid w:val="00CD7FBC"/>
    <w:rsid w:val="00CE777B"/>
    <w:rsid w:val="00D54CE9"/>
    <w:rsid w:val="00D6160F"/>
    <w:rsid w:val="00D709CC"/>
    <w:rsid w:val="00D72067"/>
    <w:rsid w:val="00D73B51"/>
    <w:rsid w:val="00E3793B"/>
    <w:rsid w:val="00E55A61"/>
    <w:rsid w:val="00E96E32"/>
    <w:rsid w:val="00ED0974"/>
    <w:rsid w:val="00ED11C5"/>
    <w:rsid w:val="00F064A1"/>
    <w:rsid w:val="00F10F5C"/>
    <w:rsid w:val="00F2300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78CE-E11D-438D-9519-94497106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9474</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Michelle Barillaro</cp:lastModifiedBy>
  <cp:revision>2</cp:revision>
  <cp:lastPrinted>2011-11-02T00:22:00Z</cp:lastPrinted>
  <dcterms:created xsi:type="dcterms:W3CDTF">2025-06-10T05:16:00Z</dcterms:created>
  <dcterms:modified xsi:type="dcterms:W3CDTF">2025-06-10T05:16:00Z</dcterms:modified>
</cp:coreProperties>
</file>